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附件：</w:t>
      </w:r>
    </w:p>
    <w:p>
      <w:pPr>
        <w:jc w:val="center"/>
        <w:rPr>
          <w:rFonts w:ascii="仿宋" w:hAnsi="仿宋" w:eastAsia="仿宋" w:cs="宋体"/>
          <w:b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30"/>
          <w:szCs w:val="30"/>
        </w:rPr>
        <w:t>2019年度院级科研项目申报指南</w:t>
      </w:r>
    </w:p>
    <w:bookmarkEnd w:id="0"/>
    <w:p>
      <w:pPr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    为扎实推进学院“双一流”建设，提升学院服务社会能力，促进学院内涵发展，现发布 2019年度学院科研项目指南。项目指南为选题的方向，而不是具体的课题名称，申请者在本指南的框架下，根据学院和个人的实际情况，明确更具体的研究方向来进行课题申报。 </w:t>
      </w:r>
    </w:p>
    <w:p>
      <w:pPr>
        <w:ind w:firstLine="57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一、党建及思政专题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1.高校及二级单位学习贯彻习近平总书记系列重要讲话精神举措研究；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2.高校及二级单位贯彻落实新发展理念与党的建设制度研究；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3.新形势下高校党建工作机制构建理论与政策研究；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</w:t>
      </w:r>
      <w:r>
        <w:rPr>
          <w:rFonts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新形势下高校学习贯彻党规党纪举措研究；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5.新形势下高校廉洁校园建设研究；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6.“互联网+”背景下高校党建信息化建设研究；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7.运用大数据提高高校党建工作科学化水平研究；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8.高职院校党支部建设研究;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9.发挥思政工作在“精准扶贫”中的作用研究;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10.隆平精神融入思政教学研究;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11.利用新媒体加强社会主义核心价值观教育研究；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12.新中国成立70年伟大成就融入大学生思想政治教育研究；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13.改革开放40年来大学生思想政治教育研究；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14.红色文化与大学生思想政治教育研究；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15.特色校园文化建设的育人功能研究；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16.爱国奋斗精神内涵及传承研究；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17.高职院校学生基层党组织建设创新研究；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18.新媒体背景下高校突发事件的舆论引导与舆情控制研究；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19.“互联网+”时代大学生网络思想政治教育研究；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20.大学生心理危机防范和快速反应机制研究；</w:t>
      </w:r>
    </w:p>
    <w:p>
      <w:pPr>
        <w:ind w:firstLine="602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二、乡村振兴专题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21.</w:t>
      </w:r>
      <w:r>
        <w:rPr>
          <w:rFonts w:ascii="仿宋" w:hAnsi="仿宋" w:eastAsia="仿宋" w:cs="宋体"/>
          <w:kern w:val="0"/>
          <w:sz w:val="30"/>
          <w:szCs w:val="30"/>
        </w:rPr>
        <w:t>农业供给侧结构性改革深化</w:t>
      </w:r>
      <w:r>
        <w:rPr>
          <w:rFonts w:hint="eastAsia" w:ascii="仿宋" w:hAnsi="仿宋" w:eastAsia="仿宋" w:cs="宋体"/>
          <w:kern w:val="0"/>
          <w:sz w:val="30"/>
          <w:szCs w:val="30"/>
        </w:rPr>
        <w:t>的问题；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22.</w:t>
      </w:r>
      <w:r>
        <w:rPr>
          <w:rFonts w:ascii="仿宋" w:hAnsi="仿宋" w:eastAsia="仿宋" w:cs="宋体"/>
          <w:kern w:val="0"/>
          <w:sz w:val="30"/>
          <w:szCs w:val="30"/>
        </w:rPr>
        <w:t>乡村绿色发展</w:t>
      </w:r>
      <w:r>
        <w:rPr>
          <w:rFonts w:hint="eastAsia" w:ascii="仿宋" w:hAnsi="仿宋" w:eastAsia="仿宋" w:cs="宋体"/>
          <w:kern w:val="0"/>
          <w:sz w:val="30"/>
          <w:szCs w:val="30"/>
        </w:rPr>
        <w:t>的若干问题；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23.</w:t>
      </w:r>
      <w:r>
        <w:rPr>
          <w:rFonts w:ascii="仿宋" w:hAnsi="仿宋" w:eastAsia="仿宋" w:cs="宋体"/>
          <w:kern w:val="0"/>
          <w:sz w:val="30"/>
          <w:szCs w:val="30"/>
        </w:rPr>
        <w:t>文明乡风、良好家风、淳朴民风培育</w:t>
      </w:r>
      <w:r>
        <w:rPr>
          <w:rFonts w:hint="eastAsia" w:ascii="仿宋" w:hAnsi="仿宋" w:eastAsia="仿宋" w:cs="宋体"/>
          <w:kern w:val="0"/>
          <w:sz w:val="30"/>
          <w:szCs w:val="30"/>
        </w:rPr>
        <w:t>的若干问题；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24.</w:t>
      </w:r>
      <w:r>
        <w:rPr>
          <w:rFonts w:ascii="仿宋" w:hAnsi="仿宋" w:eastAsia="仿宋" w:cs="宋体"/>
          <w:kern w:val="0"/>
          <w:sz w:val="30"/>
          <w:szCs w:val="30"/>
        </w:rPr>
        <w:t>精准扶贫、精准脱贫</w:t>
      </w:r>
      <w:r>
        <w:rPr>
          <w:rFonts w:hint="eastAsia" w:ascii="仿宋" w:hAnsi="仿宋" w:eastAsia="仿宋" w:cs="宋体"/>
          <w:kern w:val="0"/>
          <w:sz w:val="30"/>
          <w:szCs w:val="30"/>
        </w:rPr>
        <w:t>、严防返</w:t>
      </w:r>
      <w:r>
        <w:rPr>
          <w:rFonts w:ascii="仿宋" w:hAnsi="仿宋" w:eastAsia="仿宋" w:cs="宋体"/>
          <w:kern w:val="0"/>
          <w:sz w:val="30"/>
          <w:szCs w:val="30"/>
        </w:rPr>
        <w:t>贫</w:t>
      </w:r>
      <w:r>
        <w:rPr>
          <w:rFonts w:hint="eastAsia" w:ascii="仿宋" w:hAnsi="仿宋" w:eastAsia="仿宋" w:cs="宋体"/>
          <w:kern w:val="0"/>
          <w:sz w:val="30"/>
          <w:szCs w:val="30"/>
        </w:rPr>
        <w:t>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25.</w:t>
      </w:r>
      <w:r>
        <w:rPr>
          <w:rFonts w:ascii="仿宋" w:hAnsi="仿宋" w:eastAsia="仿宋" w:cs="宋体"/>
          <w:kern w:val="0"/>
          <w:sz w:val="30"/>
          <w:szCs w:val="30"/>
        </w:rPr>
        <w:t>习近平新时代城乡融合发展</w:t>
      </w:r>
      <w:r>
        <w:rPr>
          <w:rFonts w:hint="eastAsia" w:ascii="仿宋" w:hAnsi="仿宋" w:eastAsia="仿宋" w:cs="宋体"/>
          <w:kern w:val="0"/>
          <w:sz w:val="30"/>
          <w:szCs w:val="30"/>
        </w:rPr>
        <w:t>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26.</w:t>
      </w:r>
      <w:r>
        <w:rPr>
          <w:rFonts w:ascii="仿宋" w:hAnsi="仿宋" w:eastAsia="仿宋" w:cs="宋体"/>
          <w:kern w:val="0"/>
          <w:sz w:val="30"/>
          <w:szCs w:val="30"/>
        </w:rPr>
        <w:t>乡村治理体系创新</w:t>
      </w:r>
      <w:r>
        <w:rPr>
          <w:rFonts w:hint="eastAsia" w:ascii="仿宋" w:hAnsi="仿宋" w:eastAsia="仿宋" w:cs="宋体"/>
          <w:kern w:val="0"/>
          <w:sz w:val="30"/>
          <w:szCs w:val="30"/>
        </w:rPr>
        <w:t>的若干问题；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27.</w:t>
      </w:r>
      <w:r>
        <w:rPr>
          <w:rFonts w:ascii="仿宋" w:hAnsi="仿宋" w:eastAsia="仿宋" w:cs="宋体"/>
          <w:kern w:val="0"/>
          <w:sz w:val="30"/>
          <w:szCs w:val="30"/>
        </w:rPr>
        <w:t>农村基本经营制度</w:t>
      </w:r>
      <w:r>
        <w:rPr>
          <w:rFonts w:hint="eastAsia" w:ascii="仿宋" w:hAnsi="仿宋" w:eastAsia="仿宋" w:cs="宋体"/>
          <w:kern w:val="0"/>
          <w:sz w:val="30"/>
          <w:szCs w:val="30"/>
        </w:rPr>
        <w:t>的改革与</w:t>
      </w:r>
      <w:r>
        <w:rPr>
          <w:rFonts w:ascii="仿宋" w:hAnsi="仿宋" w:eastAsia="仿宋" w:cs="宋体"/>
          <w:kern w:val="0"/>
          <w:sz w:val="30"/>
          <w:szCs w:val="30"/>
        </w:rPr>
        <w:t>完善</w:t>
      </w:r>
      <w:r>
        <w:rPr>
          <w:rFonts w:hint="eastAsia" w:ascii="仿宋" w:hAnsi="仿宋" w:eastAsia="仿宋" w:cs="宋体"/>
          <w:kern w:val="0"/>
          <w:sz w:val="30"/>
          <w:szCs w:val="30"/>
        </w:rPr>
        <w:t>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28.</w:t>
      </w:r>
      <w:r>
        <w:rPr>
          <w:rFonts w:ascii="仿宋" w:hAnsi="仿宋" w:eastAsia="仿宋" w:cs="宋体"/>
          <w:kern w:val="0"/>
          <w:sz w:val="30"/>
          <w:szCs w:val="30"/>
        </w:rPr>
        <w:t>农村人口“空巢化”的</w:t>
      </w:r>
      <w:r>
        <w:rPr>
          <w:rFonts w:hint="eastAsia" w:ascii="仿宋" w:hAnsi="仿宋" w:eastAsia="仿宋" w:cs="宋体"/>
          <w:kern w:val="0"/>
          <w:sz w:val="30"/>
          <w:szCs w:val="30"/>
        </w:rPr>
        <w:t>若干问题；</w:t>
      </w:r>
    </w:p>
    <w:p>
      <w:pPr>
        <w:ind w:firstLine="600" w:firstLineChars="20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29.城市化进程中农民市民化问题、农村留守儿童与空巢老人心理健康问题研究；</w:t>
      </w:r>
    </w:p>
    <w:p>
      <w:pPr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 xml:space="preserve">    三、教育教学改革专题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30.“文化素质+职业技能”等“职教高考”模式创新研究；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31.长学制高端技术技能人才培养研究；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32.</w:t>
      </w:r>
      <w:r>
        <w:rPr>
          <w:rFonts w:ascii="仿宋" w:hAnsi="仿宋" w:eastAsia="仿宋" w:cs="楷体"/>
          <w:color w:val="000000"/>
          <w:sz w:val="32"/>
          <w:szCs w:val="32"/>
        </w:rPr>
        <w:t>人才培养与技术创新平台、产教融合平台、技术技能平台建设研究；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33.</w:t>
      </w:r>
      <w:r>
        <w:rPr>
          <w:rFonts w:ascii="仿宋" w:hAnsi="仿宋" w:eastAsia="仿宋" w:cs="楷体"/>
          <w:color w:val="000000"/>
          <w:sz w:val="32"/>
          <w:szCs w:val="32"/>
        </w:rPr>
        <w:t>服务中国产业走向全球产业中高端的高素质技术技能人才培养研究；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34.</w:t>
      </w:r>
      <w:r>
        <w:rPr>
          <w:rFonts w:ascii="仿宋" w:hAnsi="仿宋" w:eastAsia="仿宋" w:cs="楷体"/>
          <w:color w:val="000000"/>
          <w:sz w:val="32"/>
          <w:szCs w:val="32"/>
        </w:rPr>
        <w:t>拓展社区教育和终身学习服务机制研究；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35.军人退役、培训、就业有机衔接研究；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36.专业设置与产业需求、课程内容与职业标准、教学过程与生产过程三对接机制研究；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37.畅通技术技能人才职业发展通道若干问题研究；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38.职业</w:t>
      </w:r>
      <w:r>
        <w:rPr>
          <w:rFonts w:ascii="仿宋" w:hAnsi="仿宋" w:eastAsia="仿宋" w:cs="楷体"/>
          <w:color w:val="000000"/>
          <w:sz w:val="32"/>
          <w:szCs w:val="32"/>
        </w:rPr>
        <w:t>教育</w:t>
      </w:r>
      <w:r>
        <w:rPr>
          <w:rFonts w:hint="eastAsia" w:ascii="仿宋" w:hAnsi="仿宋" w:eastAsia="仿宋" w:cs="楷体"/>
          <w:color w:val="000000"/>
          <w:sz w:val="32"/>
          <w:szCs w:val="32"/>
        </w:rPr>
        <w:t>“学分银行”建设研究；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39.高职院校“1+X”证书制度研究；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40.职业教育质量评价机制研究；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41. 教学标准和教学内容中技术、工艺、规范持续更新动力研究；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42.专业及专业群教学质量诊断与改革研究；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43.高职生网络育人体系建设研究；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44.新时期高校主流意识形态认同创新培育研究；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45.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高职专业、课程、教材、实训实习基地（中心）建设研究；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46.习近平新时代中国特色社会主义思想引领高校课堂教学研究；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47.基于文化自信的高职教育</w:t>
      </w:r>
      <w:r>
        <w:rPr>
          <w:rFonts w:hint="eastAsia" w:ascii="仿宋" w:hAnsi="仿宋" w:eastAsia="仿宋"/>
          <w:sz w:val="32"/>
          <w:szCs w:val="32"/>
        </w:rPr>
        <w:t>理念研究；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48.高职院校“课程思政”教育教学改革研究；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.高职高专学生实践能力训练研究；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50.虚拟工厂等网络学习空间建设研究。</w:t>
      </w:r>
    </w:p>
    <w:p>
      <w:pPr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 xml:space="preserve">    四、自拟课题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    根据自身专业特点、学院特色，结合地方经济发展和行业发展，自拟课题。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C040E"/>
    <w:rsid w:val="20F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2019-06-03T03:23:00Z</dcterms:created>
  <dc:creator>highflyme</dc:creator>
  <cp:lastModifiedBy>highflyme</cp:lastModifiedBy>
  <dcterms:modified xsi:type="dcterms:W3CDTF">2019-06-03T03:23:59Z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