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760"/>
          <w:tab w:val="left" w:pos="8460"/>
          <w:tab w:val="left" w:pos="8640"/>
          <w:tab w:val="left" w:pos="8820"/>
          <w:tab w:val="left" w:pos="9180"/>
          <w:tab w:val="left" w:pos="9360"/>
        </w:tabs>
        <w:spacing w:line="600" w:lineRule="exact"/>
        <w:rPr>
          <w:rFonts w:hint="default" w:eastAsia="黑体"/>
          <w:sz w:val="32"/>
          <w:szCs w:val="32"/>
          <w:lang w:val="en-US" w:eastAsia="zh-CN"/>
        </w:rPr>
      </w:pPr>
      <w:r>
        <w:rPr>
          <w:rFonts w:eastAsia="黑体"/>
          <w:bCs/>
          <w:kern w:val="0"/>
          <w:sz w:val="32"/>
          <w:szCs w:val="32"/>
        </w:rPr>
        <w:t>附件</w:t>
      </w:r>
      <w:r>
        <w:rPr>
          <w:rFonts w:hint="eastAsia" w:eastAsia="黑体"/>
          <w:bCs/>
          <w:kern w:val="0"/>
          <w:sz w:val="32"/>
          <w:szCs w:val="32"/>
          <w:lang w:val="en-US" w:eastAsia="zh-CN"/>
        </w:rPr>
        <w:t>2-1</w:t>
      </w:r>
    </w:p>
    <w:p>
      <w:pPr>
        <w:widowControl/>
        <w:spacing w:after="120" w:afterLines="50"/>
        <w:jc w:val="center"/>
        <w:rPr>
          <w:rFonts w:eastAsia="方正小标宋_GBK"/>
          <w:color w:val="000000"/>
          <w:kern w:val="0"/>
          <w:sz w:val="36"/>
          <w:szCs w:val="36"/>
        </w:rPr>
      </w:pPr>
      <w:r>
        <w:rPr>
          <w:rFonts w:hint="eastAsia" w:eastAsia="方正小标宋_GBK"/>
          <w:color w:val="000000"/>
          <w:kern w:val="0"/>
          <w:sz w:val="36"/>
          <w:szCs w:val="36"/>
          <w:u w:val="single"/>
          <w:lang w:val="en-US" w:eastAsia="zh-CN"/>
        </w:rPr>
        <w:t xml:space="preserve">        </w:t>
      </w:r>
      <w:r>
        <w:rPr>
          <w:rFonts w:eastAsia="方正小标宋_GBK"/>
          <w:color w:val="000000"/>
          <w:kern w:val="0"/>
          <w:sz w:val="36"/>
          <w:szCs w:val="36"/>
        </w:rPr>
        <w:t>年</w:t>
      </w:r>
      <w:r>
        <w:rPr>
          <w:rFonts w:hint="eastAsia" w:eastAsia="方正小标宋_GBK"/>
          <w:color w:val="000000"/>
          <w:kern w:val="0"/>
          <w:sz w:val="36"/>
          <w:szCs w:val="36"/>
          <w:lang w:val="en-US" w:eastAsia="zh-CN"/>
        </w:rPr>
        <w:t>学院</w:t>
      </w:r>
      <w:r>
        <w:rPr>
          <w:rFonts w:eastAsia="方正小标宋_GBK"/>
          <w:color w:val="000000"/>
          <w:kern w:val="0"/>
          <w:sz w:val="36"/>
          <w:szCs w:val="36"/>
        </w:rPr>
        <w:t>新增资产申报表</w:t>
      </w:r>
    </w:p>
    <w:p>
      <w:pPr>
        <w:widowControl/>
        <w:spacing w:after="120" w:afterLines="50"/>
        <w:ind w:firstLine="632" w:firstLineChars="300"/>
        <w:jc w:val="both"/>
        <w:rPr>
          <w:rFonts w:eastAsia="方正小标宋_GBK"/>
          <w:color w:val="000000"/>
          <w:kern w:val="0"/>
          <w:sz w:val="36"/>
          <w:szCs w:val="36"/>
        </w:rPr>
      </w:pPr>
      <w:r>
        <w:rPr>
          <w:rFonts w:hint="eastAsia" w:ascii="宋体" w:hAnsi="宋体" w:cs="宋体"/>
          <w:b/>
          <w:color w:val="333333"/>
          <w:kern w:val="0"/>
          <w:szCs w:val="21"/>
          <w:lang w:val="en-US" w:eastAsia="zh-CN"/>
        </w:rPr>
        <w:t>资产处</w:t>
      </w:r>
      <w:r>
        <w:rPr>
          <w:rFonts w:hint="eastAsia" w:ascii="宋体" w:hAnsi="宋体" w:cs="宋体"/>
          <w:b/>
          <w:color w:val="333333"/>
          <w:kern w:val="0"/>
          <w:szCs w:val="21"/>
        </w:rPr>
        <w:t xml:space="preserve">处长审核签字：                  </w:t>
      </w:r>
      <w:r>
        <w:rPr>
          <w:rFonts w:hint="eastAsia" w:ascii="宋体" w:hAnsi="宋体" w:cs="宋体"/>
          <w:b/>
          <w:color w:val="333333"/>
          <w:kern w:val="0"/>
          <w:szCs w:val="21"/>
          <w:lang w:val="en-US" w:eastAsia="zh-CN"/>
        </w:rPr>
        <w:t>主管院领导签字：</w:t>
      </w:r>
      <w:r>
        <w:rPr>
          <w:rFonts w:hint="eastAsia" w:ascii="宋体" w:hAnsi="宋体" w:cs="宋体"/>
          <w:b/>
          <w:color w:val="333333"/>
          <w:kern w:val="0"/>
          <w:szCs w:val="21"/>
        </w:rPr>
        <w:t xml:space="preserve">                                       </w:t>
      </w:r>
      <w:r>
        <w:rPr>
          <w:rFonts w:hint="eastAsia" w:ascii="宋体" w:hAnsi="宋体" w:cs="宋体"/>
          <w:b/>
          <w:color w:val="333333"/>
          <w:kern w:val="0"/>
          <w:szCs w:val="21"/>
          <w:lang w:val="en-US" w:eastAsia="zh-CN"/>
        </w:rPr>
        <w:t>资产</w:t>
      </w:r>
      <w:r>
        <w:rPr>
          <w:rFonts w:hint="eastAsia" w:ascii="宋体" w:hAnsi="宋体" w:cs="宋体"/>
          <w:b/>
          <w:color w:val="333333"/>
          <w:kern w:val="0"/>
          <w:szCs w:val="21"/>
        </w:rPr>
        <w:t>处盖章：</w:t>
      </w:r>
    </w:p>
    <w:tbl>
      <w:tblPr>
        <w:tblStyle w:val="2"/>
        <w:tblW w:w="13647" w:type="dxa"/>
        <w:jc w:val="center"/>
        <w:tblInd w:w="-14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2370"/>
        <w:gridCol w:w="2005"/>
        <w:gridCol w:w="1417"/>
        <w:gridCol w:w="1080"/>
        <w:gridCol w:w="1080"/>
        <w:gridCol w:w="1492"/>
        <w:gridCol w:w="21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431" w:type="dxa"/>
            <w:gridSpan w:val="2"/>
            <w:vMerge w:val="restart"/>
            <w:shd w:val="clear" w:color="auto" w:fill="auto"/>
            <w:noWrap w:val="0"/>
            <w:vAlign w:val="center"/>
          </w:tcPr>
          <w:p>
            <w:pPr>
              <w:widowControl/>
              <w:jc w:val="center"/>
              <w:rPr>
                <w:rFonts w:eastAsia="黑体"/>
                <w:color w:val="000000"/>
                <w:kern w:val="0"/>
                <w:sz w:val="20"/>
                <w:szCs w:val="20"/>
              </w:rPr>
            </w:pPr>
            <w:r>
              <w:rPr>
                <w:rFonts w:eastAsia="黑体"/>
                <w:color w:val="000000"/>
                <w:kern w:val="0"/>
                <w:sz w:val="20"/>
                <w:szCs w:val="20"/>
              </w:rPr>
              <w:t>资产类别</w:t>
            </w:r>
          </w:p>
        </w:tc>
        <w:tc>
          <w:tcPr>
            <w:tcW w:w="2005" w:type="dxa"/>
            <w:vMerge w:val="restart"/>
            <w:shd w:val="clear" w:color="auto" w:fill="auto"/>
            <w:noWrap w:val="0"/>
            <w:vAlign w:val="center"/>
          </w:tcPr>
          <w:p>
            <w:pPr>
              <w:widowControl/>
              <w:jc w:val="center"/>
              <w:rPr>
                <w:rFonts w:eastAsia="黑体"/>
                <w:color w:val="000000"/>
                <w:kern w:val="0"/>
                <w:sz w:val="20"/>
                <w:szCs w:val="20"/>
              </w:rPr>
            </w:pPr>
            <w:r>
              <w:rPr>
                <w:rFonts w:eastAsia="黑体"/>
                <w:color w:val="000000"/>
                <w:kern w:val="0"/>
                <w:sz w:val="20"/>
                <w:szCs w:val="20"/>
              </w:rPr>
              <w:t>新增资产</w:t>
            </w:r>
          </w:p>
          <w:p>
            <w:pPr>
              <w:widowControl/>
              <w:jc w:val="center"/>
              <w:rPr>
                <w:rFonts w:eastAsia="黑体"/>
                <w:color w:val="000000"/>
                <w:kern w:val="0"/>
                <w:sz w:val="20"/>
                <w:szCs w:val="20"/>
              </w:rPr>
            </w:pPr>
            <w:r>
              <w:rPr>
                <w:rFonts w:eastAsia="黑体"/>
                <w:color w:val="000000"/>
                <w:kern w:val="0"/>
                <w:sz w:val="20"/>
                <w:szCs w:val="20"/>
              </w:rPr>
              <w:t>名称</w:t>
            </w:r>
          </w:p>
        </w:tc>
        <w:tc>
          <w:tcPr>
            <w:tcW w:w="1417" w:type="dxa"/>
            <w:vMerge w:val="restart"/>
            <w:shd w:val="clear" w:color="auto" w:fill="auto"/>
            <w:noWrap w:val="0"/>
            <w:vAlign w:val="center"/>
          </w:tcPr>
          <w:p>
            <w:pPr>
              <w:widowControl/>
              <w:jc w:val="center"/>
              <w:rPr>
                <w:rFonts w:eastAsia="黑体"/>
                <w:color w:val="000000"/>
                <w:kern w:val="0"/>
                <w:sz w:val="20"/>
                <w:szCs w:val="20"/>
              </w:rPr>
            </w:pPr>
            <w:r>
              <w:rPr>
                <w:rFonts w:eastAsia="黑体"/>
                <w:color w:val="000000"/>
                <w:kern w:val="0"/>
                <w:sz w:val="20"/>
                <w:szCs w:val="20"/>
              </w:rPr>
              <w:t>新增数量〔单位：平方米/台/套〕</w:t>
            </w:r>
          </w:p>
        </w:tc>
        <w:tc>
          <w:tcPr>
            <w:tcW w:w="1080" w:type="dxa"/>
            <w:vMerge w:val="restart"/>
            <w:shd w:val="clear" w:color="auto" w:fill="auto"/>
            <w:noWrap w:val="0"/>
            <w:vAlign w:val="center"/>
          </w:tcPr>
          <w:p>
            <w:pPr>
              <w:widowControl/>
              <w:jc w:val="center"/>
              <w:rPr>
                <w:rFonts w:eastAsia="黑体"/>
                <w:color w:val="000000"/>
                <w:kern w:val="0"/>
                <w:sz w:val="20"/>
                <w:szCs w:val="20"/>
              </w:rPr>
            </w:pPr>
            <w:r>
              <w:rPr>
                <w:rFonts w:eastAsia="黑体"/>
                <w:color w:val="000000"/>
                <w:kern w:val="0"/>
                <w:sz w:val="20"/>
                <w:szCs w:val="20"/>
              </w:rPr>
              <w:t>申报资金（单位：万元）</w:t>
            </w:r>
          </w:p>
        </w:tc>
        <w:tc>
          <w:tcPr>
            <w:tcW w:w="1080" w:type="dxa"/>
            <w:vMerge w:val="restart"/>
            <w:shd w:val="clear" w:color="auto" w:fill="auto"/>
            <w:noWrap w:val="0"/>
            <w:vAlign w:val="center"/>
          </w:tcPr>
          <w:p>
            <w:pPr>
              <w:widowControl/>
              <w:jc w:val="center"/>
              <w:rPr>
                <w:rFonts w:eastAsia="黑体"/>
                <w:color w:val="000000"/>
                <w:kern w:val="0"/>
                <w:sz w:val="20"/>
                <w:szCs w:val="20"/>
              </w:rPr>
            </w:pPr>
            <w:r>
              <w:rPr>
                <w:rFonts w:eastAsia="黑体"/>
                <w:color w:val="000000"/>
                <w:kern w:val="0"/>
                <w:sz w:val="20"/>
                <w:szCs w:val="20"/>
              </w:rPr>
              <w:t>配置依据</w:t>
            </w:r>
          </w:p>
        </w:tc>
        <w:tc>
          <w:tcPr>
            <w:tcW w:w="1492" w:type="dxa"/>
            <w:vMerge w:val="restart"/>
            <w:shd w:val="clear" w:color="auto" w:fill="auto"/>
            <w:noWrap w:val="0"/>
            <w:vAlign w:val="center"/>
          </w:tcPr>
          <w:p>
            <w:pPr>
              <w:widowControl/>
              <w:jc w:val="center"/>
              <w:rPr>
                <w:rFonts w:eastAsia="黑体"/>
                <w:color w:val="000000"/>
                <w:kern w:val="0"/>
                <w:sz w:val="20"/>
                <w:szCs w:val="20"/>
              </w:rPr>
            </w:pPr>
            <w:r>
              <w:rPr>
                <w:rFonts w:eastAsia="黑体"/>
                <w:color w:val="000000"/>
                <w:kern w:val="0"/>
                <w:sz w:val="20"/>
                <w:szCs w:val="20"/>
              </w:rPr>
              <w:t>资产存量情况〔单位：平方米/台/套〕</w:t>
            </w:r>
          </w:p>
        </w:tc>
        <w:tc>
          <w:tcPr>
            <w:tcW w:w="2142" w:type="dxa"/>
            <w:vMerge w:val="restart"/>
            <w:shd w:val="clear" w:color="auto" w:fill="auto"/>
            <w:noWrap w:val="0"/>
            <w:vAlign w:val="center"/>
          </w:tcPr>
          <w:p>
            <w:pPr>
              <w:widowControl/>
              <w:jc w:val="center"/>
              <w:rPr>
                <w:rFonts w:eastAsia="黑体"/>
                <w:color w:val="000000"/>
                <w:kern w:val="0"/>
                <w:sz w:val="20"/>
                <w:szCs w:val="20"/>
              </w:rPr>
            </w:pPr>
            <w:r>
              <w:rPr>
                <w:rFonts w:eastAsia="黑体"/>
                <w:color w:val="000000"/>
                <w:kern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4431" w:type="dxa"/>
            <w:gridSpan w:val="2"/>
            <w:vMerge w:val="continue"/>
            <w:noWrap w:val="0"/>
            <w:vAlign w:val="center"/>
          </w:tcPr>
          <w:p>
            <w:pPr>
              <w:widowControl/>
              <w:jc w:val="left"/>
              <w:rPr>
                <w:rFonts w:eastAsia="黑体"/>
                <w:color w:val="000000"/>
                <w:kern w:val="0"/>
                <w:sz w:val="20"/>
                <w:szCs w:val="20"/>
              </w:rPr>
            </w:pPr>
          </w:p>
        </w:tc>
        <w:tc>
          <w:tcPr>
            <w:tcW w:w="2005" w:type="dxa"/>
            <w:vMerge w:val="continue"/>
            <w:noWrap w:val="0"/>
            <w:vAlign w:val="center"/>
          </w:tcPr>
          <w:p>
            <w:pPr>
              <w:widowControl/>
              <w:jc w:val="left"/>
              <w:rPr>
                <w:rFonts w:eastAsia="黑体"/>
                <w:color w:val="000000"/>
                <w:kern w:val="0"/>
                <w:sz w:val="20"/>
                <w:szCs w:val="20"/>
              </w:rPr>
            </w:pPr>
          </w:p>
        </w:tc>
        <w:tc>
          <w:tcPr>
            <w:tcW w:w="1417" w:type="dxa"/>
            <w:vMerge w:val="continue"/>
            <w:noWrap w:val="0"/>
            <w:vAlign w:val="center"/>
          </w:tcPr>
          <w:p>
            <w:pPr>
              <w:widowControl/>
              <w:jc w:val="left"/>
              <w:rPr>
                <w:rFonts w:eastAsia="黑体"/>
                <w:color w:val="000000"/>
                <w:kern w:val="0"/>
                <w:sz w:val="20"/>
                <w:szCs w:val="20"/>
              </w:rPr>
            </w:pPr>
          </w:p>
        </w:tc>
        <w:tc>
          <w:tcPr>
            <w:tcW w:w="1080" w:type="dxa"/>
            <w:vMerge w:val="continue"/>
            <w:noWrap w:val="0"/>
            <w:vAlign w:val="center"/>
          </w:tcPr>
          <w:p>
            <w:pPr>
              <w:widowControl/>
              <w:jc w:val="left"/>
              <w:rPr>
                <w:rFonts w:eastAsia="黑体"/>
                <w:color w:val="000000"/>
                <w:kern w:val="0"/>
                <w:sz w:val="20"/>
                <w:szCs w:val="20"/>
              </w:rPr>
            </w:pPr>
          </w:p>
        </w:tc>
        <w:tc>
          <w:tcPr>
            <w:tcW w:w="1080" w:type="dxa"/>
            <w:vMerge w:val="continue"/>
            <w:noWrap w:val="0"/>
            <w:vAlign w:val="center"/>
          </w:tcPr>
          <w:p>
            <w:pPr>
              <w:widowControl/>
              <w:jc w:val="left"/>
              <w:rPr>
                <w:rFonts w:eastAsia="黑体"/>
                <w:color w:val="000000"/>
                <w:kern w:val="0"/>
                <w:sz w:val="20"/>
                <w:szCs w:val="20"/>
              </w:rPr>
            </w:pPr>
          </w:p>
        </w:tc>
        <w:tc>
          <w:tcPr>
            <w:tcW w:w="1492" w:type="dxa"/>
            <w:vMerge w:val="continue"/>
            <w:noWrap w:val="0"/>
            <w:vAlign w:val="center"/>
          </w:tcPr>
          <w:p>
            <w:pPr>
              <w:widowControl/>
              <w:jc w:val="left"/>
              <w:rPr>
                <w:rFonts w:eastAsia="黑体"/>
                <w:color w:val="000000"/>
                <w:kern w:val="0"/>
                <w:sz w:val="20"/>
                <w:szCs w:val="20"/>
              </w:rPr>
            </w:pPr>
          </w:p>
        </w:tc>
        <w:tc>
          <w:tcPr>
            <w:tcW w:w="2142" w:type="dxa"/>
            <w:vMerge w:val="continue"/>
            <w:noWrap w:val="0"/>
            <w:vAlign w:val="center"/>
          </w:tcPr>
          <w:p>
            <w:pPr>
              <w:widowControl/>
              <w:jc w:val="left"/>
              <w:rPr>
                <w:rFonts w:eastAsia="黑体"/>
                <w:color w:val="000000"/>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431" w:type="dxa"/>
            <w:gridSpan w:val="2"/>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合计</w:t>
            </w: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431" w:type="dxa"/>
            <w:gridSpan w:val="2"/>
            <w:vMerge w:val="restart"/>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房屋及构筑物</w:t>
            </w: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小计</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color w:val="000000"/>
                <w:kern w:val="0"/>
                <w:sz w:val="20"/>
                <w:szCs w:val="20"/>
              </w:rPr>
            </w:pPr>
            <w:r>
              <w:rPr>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431" w:type="dxa"/>
            <w:gridSpan w:val="2"/>
            <w:vMerge w:val="continue"/>
            <w:shd w:val="clear" w:color="auto" w:fill="auto"/>
            <w:noWrap w:val="0"/>
            <w:vAlign w:val="center"/>
          </w:tcPr>
          <w:p>
            <w:pPr>
              <w:widowControl/>
              <w:jc w:val="left"/>
              <w:rPr>
                <w:rFonts w:eastAsia="仿宋_GB2312"/>
                <w:color w:val="000000"/>
                <w:kern w:val="0"/>
                <w:sz w:val="20"/>
                <w:szCs w:val="20"/>
              </w:rPr>
            </w:pP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431" w:type="dxa"/>
            <w:gridSpan w:val="2"/>
            <w:vMerge w:val="restart"/>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土地</w:t>
            </w: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小计</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431" w:type="dxa"/>
            <w:gridSpan w:val="2"/>
            <w:vMerge w:val="continue"/>
            <w:shd w:val="clear" w:color="auto" w:fill="auto"/>
            <w:noWrap w:val="0"/>
            <w:vAlign w:val="center"/>
          </w:tcPr>
          <w:p>
            <w:pPr>
              <w:widowControl/>
              <w:jc w:val="left"/>
              <w:rPr>
                <w:rFonts w:eastAsia="仿宋_GB2312"/>
                <w:color w:val="000000"/>
                <w:kern w:val="0"/>
                <w:sz w:val="20"/>
                <w:szCs w:val="20"/>
              </w:rPr>
            </w:pP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431" w:type="dxa"/>
            <w:gridSpan w:val="2"/>
            <w:vMerge w:val="restart"/>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车辆</w:t>
            </w: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小计</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4431" w:type="dxa"/>
            <w:gridSpan w:val="2"/>
            <w:vMerge w:val="continue"/>
            <w:shd w:val="clear" w:color="auto" w:fill="auto"/>
            <w:noWrap w:val="0"/>
            <w:vAlign w:val="center"/>
          </w:tcPr>
          <w:p>
            <w:pPr>
              <w:widowControl/>
              <w:jc w:val="left"/>
              <w:rPr>
                <w:rFonts w:eastAsia="仿宋_GB2312"/>
                <w:color w:val="000000"/>
                <w:kern w:val="0"/>
                <w:sz w:val="20"/>
                <w:szCs w:val="20"/>
              </w:rPr>
            </w:pP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061" w:type="dxa"/>
            <w:vMerge w:val="restart"/>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办公设备</w:t>
            </w:r>
          </w:p>
        </w:tc>
        <w:tc>
          <w:tcPr>
            <w:tcW w:w="2370" w:type="dxa"/>
            <w:vMerge w:val="restart"/>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通用设备</w:t>
            </w: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小计</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061" w:type="dxa"/>
            <w:vMerge w:val="continue"/>
            <w:shd w:val="clear" w:color="auto" w:fill="auto"/>
            <w:noWrap w:val="0"/>
            <w:vAlign w:val="center"/>
          </w:tcPr>
          <w:p>
            <w:pPr>
              <w:jc w:val="left"/>
              <w:rPr>
                <w:rFonts w:eastAsia="仿宋_GB2312"/>
                <w:color w:val="000000"/>
                <w:kern w:val="0"/>
                <w:sz w:val="20"/>
                <w:szCs w:val="20"/>
              </w:rPr>
            </w:pPr>
          </w:p>
        </w:tc>
        <w:tc>
          <w:tcPr>
            <w:tcW w:w="2370" w:type="dxa"/>
            <w:vMerge w:val="continue"/>
            <w:shd w:val="clear" w:color="auto" w:fill="auto"/>
            <w:noWrap w:val="0"/>
            <w:vAlign w:val="center"/>
          </w:tcPr>
          <w:p>
            <w:pPr>
              <w:widowControl/>
              <w:jc w:val="left"/>
              <w:rPr>
                <w:rFonts w:eastAsia="仿宋_GB2312"/>
                <w:color w:val="000000"/>
                <w:kern w:val="0"/>
                <w:sz w:val="20"/>
                <w:szCs w:val="20"/>
              </w:rPr>
            </w:pP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061" w:type="dxa"/>
            <w:vMerge w:val="continue"/>
            <w:shd w:val="clear" w:color="auto" w:fill="auto"/>
            <w:noWrap w:val="0"/>
            <w:vAlign w:val="center"/>
          </w:tcPr>
          <w:p>
            <w:pPr>
              <w:jc w:val="left"/>
              <w:rPr>
                <w:color w:val="000000"/>
                <w:kern w:val="0"/>
                <w:sz w:val="22"/>
                <w:szCs w:val="22"/>
              </w:rPr>
            </w:pPr>
          </w:p>
        </w:tc>
        <w:tc>
          <w:tcPr>
            <w:tcW w:w="2370" w:type="dxa"/>
            <w:vMerge w:val="restart"/>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办公家具</w:t>
            </w: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小计</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061" w:type="dxa"/>
            <w:vMerge w:val="continue"/>
            <w:shd w:val="clear" w:color="auto" w:fill="auto"/>
            <w:noWrap w:val="0"/>
            <w:vAlign w:val="center"/>
          </w:tcPr>
          <w:p>
            <w:pPr>
              <w:widowControl/>
              <w:jc w:val="left"/>
              <w:rPr>
                <w:color w:val="000000"/>
                <w:kern w:val="0"/>
                <w:sz w:val="22"/>
                <w:szCs w:val="22"/>
              </w:rPr>
            </w:pPr>
          </w:p>
        </w:tc>
        <w:tc>
          <w:tcPr>
            <w:tcW w:w="2370" w:type="dxa"/>
            <w:vMerge w:val="continue"/>
            <w:shd w:val="clear" w:color="auto" w:fill="auto"/>
            <w:noWrap w:val="0"/>
            <w:vAlign w:val="center"/>
          </w:tcPr>
          <w:p>
            <w:pPr>
              <w:widowControl/>
              <w:jc w:val="left"/>
              <w:rPr>
                <w:rFonts w:eastAsia="仿宋_GB2312"/>
                <w:color w:val="000000"/>
                <w:kern w:val="0"/>
                <w:sz w:val="20"/>
                <w:szCs w:val="20"/>
              </w:rPr>
            </w:pP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061" w:type="dxa"/>
            <w:vMerge w:val="restart"/>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其他资产</w:t>
            </w:r>
          </w:p>
        </w:tc>
        <w:tc>
          <w:tcPr>
            <w:tcW w:w="2370" w:type="dxa"/>
            <w:vMerge w:val="restart"/>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单项价值限额以上的其他资产</w:t>
            </w: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小计</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061" w:type="dxa"/>
            <w:vMerge w:val="continue"/>
            <w:shd w:val="clear" w:color="auto" w:fill="auto"/>
            <w:noWrap w:val="0"/>
            <w:vAlign w:val="center"/>
          </w:tcPr>
          <w:p>
            <w:pPr>
              <w:jc w:val="left"/>
              <w:rPr>
                <w:rFonts w:eastAsia="仿宋_GB2312"/>
                <w:color w:val="000000"/>
                <w:kern w:val="0"/>
                <w:sz w:val="20"/>
                <w:szCs w:val="20"/>
              </w:rPr>
            </w:pPr>
          </w:p>
        </w:tc>
        <w:tc>
          <w:tcPr>
            <w:tcW w:w="2370" w:type="dxa"/>
            <w:vMerge w:val="continue"/>
            <w:shd w:val="clear" w:color="auto" w:fill="auto"/>
            <w:noWrap w:val="0"/>
            <w:vAlign w:val="center"/>
          </w:tcPr>
          <w:p>
            <w:pPr>
              <w:widowControl/>
              <w:jc w:val="left"/>
              <w:rPr>
                <w:rFonts w:eastAsia="仿宋_GB2312"/>
                <w:color w:val="000000"/>
                <w:kern w:val="0"/>
                <w:sz w:val="20"/>
                <w:szCs w:val="20"/>
              </w:rPr>
            </w:pP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061" w:type="dxa"/>
            <w:vMerge w:val="continue"/>
            <w:shd w:val="clear" w:color="auto" w:fill="auto"/>
            <w:noWrap w:val="0"/>
            <w:vAlign w:val="center"/>
          </w:tcPr>
          <w:p>
            <w:pPr>
              <w:jc w:val="left"/>
              <w:rPr>
                <w:color w:val="000000"/>
                <w:kern w:val="0"/>
                <w:sz w:val="22"/>
                <w:szCs w:val="22"/>
              </w:rPr>
            </w:pPr>
          </w:p>
        </w:tc>
        <w:tc>
          <w:tcPr>
            <w:tcW w:w="2370" w:type="dxa"/>
            <w:vMerge w:val="restart"/>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单项价值限额以下的其他资产</w:t>
            </w: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小计</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061" w:type="dxa"/>
            <w:vMerge w:val="continue"/>
            <w:shd w:val="clear" w:color="auto" w:fill="auto"/>
            <w:noWrap w:val="0"/>
            <w:vAlign w:val="center"/>
          </w:tcPr>
          <w:p>
            <w:pPr>
              <w:widowControl/>
              <w:jc w:val="left"/>
              <w:rPr>
                <w:color w:val="000000"/>
                <w:kern w:val="0"/>
                <w:sz w:val="22"/>
                <w:szCs w:val="22"/>
              </w:rPr>
            </w:pPr>
          </w:p>
        </w:tc>
        <w:tc>
          <w:tcPr>
            <w:tcW w:w="2370" w:type="dxa"/>
            <w:vMerge w:val="continue"/>
            <w:shd w:val="clear" w:color="auto" w:fill="auto"/>
            <w:noWrap w:val="0"/>
            <w:vAlign w:val="center"/>
          </w:tcPr>
          <w:p>
            <w:pPr>
              <w:widowControl/>
              <w:jc w:val="left"/>
              <w:rPr>
                <w:rFonts w:eastAsia="仿宋_GB2312"/>
                <w:color w:val="000000"/>
                <w:kern w:val="0"/>
                <w:sz w:val="20"/>
                <w:szCs w:val="20"/>
              </w:rPr>
            </w:pPr>
          </w:p>
        </w:tc>
        <w:tc>
          <w:tcPr>
            <w:tcW w:w="2005"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17"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080"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149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c>
          <w:tcPr>
            <w:tcW w:w="2142" w:type="dxa"/>
            <w:shd w:val="clear" w:color="auto" w:fill="auto"/>
            <w:noWrap w:val="0"/>
            <w:vAlign w:val="center"/>
          </w:tcPr>
          <w:p>
            <w:pPr>
              <w:widowControl/>
              <w:jc w:val="center"/>
              <w:rPr>
                <w:rFonts w:eastAsia="仿宋_GB2312"/>
                <w:color w:val="000000"/>
                <w:kern w:val="0"/>
                <w:sz w:val="20"/>
                <w:szCs w:val="20"/>
              </w:rPr>
            </w:pPr>
            <w:r>
              <w:rPr>
                <w:rFonts w:eastAsia="仿宋_GB2312"/>
                <w:color w:val="000000"/>
                <w:kern w:val="0"/>
                <w:sz w:val="20"/>
                <w:szCs w:val="20"/>
              </w:rPr>
              <w:t>　</w:t>
            </w:r>
          </w:p>
        </w:tc>
      </w:tr>
    </w:tbl>
    <w:p>
      <w:pPr>
        <w:widowControl/>
        <w:spacing w:before="120" w:beforeLines="50"/>
        <w:jc w:val="left"/>
        <w:rPr>
          <w:rFonts w:eastAsia="仿宋_GB2312"/>
          <w:color w:val="000000"/>
          <w:kern w:val="0"/>
          <w:sz w:val="22"/>
          <w:szCs w:val="22"/>
        </w:rPr>
      </w:pPr>
      <w:r>
        <w:rPr>
          <w:rFonts w:eastAsia="仿宋_GB2312"/>
          <w:color w:val="000000"/>
          <w:kern w:val="0"/>
          <w:sz w:val="22"/>
          <w:szCs w:val="22"/>
        </w:rPr>
        <w:t>备注：1、资产存量情况的统计截止时间为2019年6月30日。</w:t>
      </w:r>
    </w:p>
    <w:p>
      <w:pPr>
        <w:widowControl/>
        <w:ind w:firstLine="699" w:firstLineChars="318"/>
        <w:jc w:val="left"/>
        <w:rPr>
          <w:rFonts w:eastAsia="仿宋_GB2312"/>
          <w:color w:val="000000"/>
          <w:kern w:val="0"/>
          <w:sz w:val="22"/>
          <w:szCs w:val="22"/>
        </w:rPr>
      </w:pPr>
      <w:r>
        <w:rPr>
          <w:rFonts w:eastAsia="仿宋_GB2312"/>
          <w:color w:val="000000"/>
          <w:kern w:val="0"/>
          <w:sz w:val="22"/>
          <w:szCs w:val="22"/>
        </w:rPr>
        <w:t>2、资产存量是指相应配置资产的存量。</w:t>
      </w:r>
    </w:p>
    <w:p>
      <w:pPr>
        <w:widowControl/>
        <w:ind w:firstLine="699" w:firstLineChars="318"/>
        <w:jc w:val="left"/>
        <w:rPr>
          <w:rFonts w:eastAsia="仿宋_GB2312"/>
          <w:color w:val="000000"/>
          <w:kern w:val="0"/>
          <w:sz w:val="22"/>
          <w:szCs w:val="22"/>
        </w:rPr>
      </w:pPr>
      <w:r>
        <w:rPr>
          <w:rFonts w:eastAsia="仿宋_GB2312"/>
          <w:color w:val="000000"/>
          <w:kern w:val="0"/>
          <w:sz w:val="22"/>
          <w:szCs w:val="22"/>
        </w:rPr>
        <w:t>3、其他资产的单项价值限额为50万元，含本数。</w:t>
      </w:r>
    </w:p>
    <w:p>
      <w:pPr>
        <w:tabs>
          <w:tab w:val="left" w:pos="5760"/>
          <w:tab w:val="left" w:pos="8460"/>
          <w:tab w:val="left" w:pos="8640"/>
          <w:tab w:val="left" w:pos="8820"/>
          <w:tab w:val="left" w:pos="9180"/>
          <w:tab w:val="left" w:pos="9360"/>
        </w:tabs>
        <w:spacing w:line="600" w:lineRule="exact"/>
        <w:rPr>
          <w:rFonts w:hint="default" w:eastAsia="黑体"/>
          <w:sz w:val="32"/>
          <w:szCs w:val="32"/>
          <w:lang w:val="en-US" w:eastAsia="zh-CN"/>
        </w:rPr>
      </w:pPr>
      <w:r>
        <w:br w:type="page"/>
      </w:r>
      <w:r>
        <w:rPr>
          <w:rFonts w:eastAsia="黑体"/>
          <w:bCs/>
          <w:kern w:val="0"/>
          <w:sz w:val="32"/>
          <w:szCs w:val="32"/>
        </w:rPr>
        <w:t>附件</w:t>
      </w:r>
      <w:r>
        <w:rPr>
          <w:rFonts w:hint="eastAsia" w:eastAsia="黑体"/>
          <w:bCs/>
          <w:kern w:val="0"/>
          <w:sz w:val="32"/>
          <w:szCs w:val="32"/>
          <w:lang w:val="en-US" w:eastAsia="zh-CN"/>
        </w:rPr>
        <w:t>2-2</w:t>
      </w:r>
    </w:p>
    <w:p>
      <w:pPr>
        <w:tabs>
          <w:tab w:val="left" w:pos="5760"/>
          <w:tab w:val="left" w:pos="8460"/>
          <w:tab w:val="left" w:pos="8640"/>
          <w:tab w:val="left" w:pos="8820"/>
          <w:tab w:val="left" w:pos="9180"/>
          <w:tab w:val="left" w:pos="9360"/>
        </w:tabs>
        <w:rPr>
          <w:rFonts w:eastAsia="黑体"/>
          <w:bCs/>
          <w:kern w:val="0"/>
          <w:sz w:val="32"/>
          <w:szCs w:val="32"/>
        </w:rPr>
      </w:pPr>
    </w:p>
    <w:p>
      <w:pPr>
        <w:widowControl/>
        <w:jc w:val="center"/>
        <w:rPr>
          <w:rFonts w:eastAsia="方正小标宋_GBK"/>
          <w:color w:val="000000"/>
          <w:kern w:val="0"/>
          <w:sz w:val="36"/>
          <w:szCs w:val="36"/>
        </w:rPr>
      </w:pPr>
      <w:r>
        <w:rPr>
          <w:rFonts w:hint="eastAsia" w:eastAsia="方正小标宋_GBK"/>
          <w:color w:val="000000"/>
          <w:kern w:val="0"/>
          <w:sz w:val="36"/>
          <w:szCs w:val="36"/>
          <w:u w:val="single"/>
          <w:lang w:val="en-US" w:eastAsia="zh-CN"/>
        </w:rPr>
        <w:t xml:space="preserve">        </w:t>
      </w:r>
      <w:r>
        <w:rPr>
          <w:rFonts w:eastAsia="方正小标宋_GBK"/>
          <w:color w:val="000000"/>
          <w:kern w:val="0"/>
          <w:sz w:val="36"/>
          <w:szCs w:val="36"/>
        </w:rPr>
        <w:t>年</w:t>
      </w:r>
      <w:r>
        <w:rPr>
          <w:rFonts w:hint="eastAsia" w:eastAsia="方正小标宋_GBK"/>
          <w:color w:val="000000"/>
          <w:kern w:val="0"/>
          <w:sz w:val="36"/>
          <w:szCs w:val="36"/>
          <w:lang w:val="en-US" w:eastAsia="zh-CN"/>
        </w:rPr>
        <w:t>学院</w:t>
      </w:r>
      <w:r>
        <w:rPr>
          <w:rFonts w:eastAsia="方正小标宋_GBK"/>
          <w:color w:val="000000"/>
          <w:kern w:val="0"/>
          <w:sz w:val="36"/>
          <w:szCs w:val="36"/>
        </w:rPr>
        <w:t>新增资产汇总表</w:t>
      </w:r>
    </w:p>
    <w:p>
      <w:pPr>
        <w:widowControl/>
        <w:jc w:val="left"/>
        <w:rPr>
          <w:rFonts w:eastAsia="仿宋_GB2312"/>
          <w:color w:val="000000"/>
          <w:kern w:val="0"/>
          <w:sz w:val="20"/>
          <w:szCs w:val="20"/>
        </w:rPr>
      </w:pPr>
      <w:r>
        <w:rPr>
          <w:rFonts w:hint="eastAsia" w:eastAsia="仿宋_GB2312"/>
          <w:color w:val="000000"/>
          <w:kern w:val="0"/>
          <w:sz w:val="20"/>
          <w:szCs w:val="20"/>
          <w:lang w:val="en-US" w:eastAsia="zh-CN"/>
        </w:rPr>
        <w:t>资产处盖章</w:t>
      </w:r>
      <w:r>
        <w:rPr>
          <w:rFonts w:eastAsia="仿宋_GB2312"/>
          <w:color w:val="000000"/>
          <w:kern w:val="0"/>
          <w:sz w:val="20"/>
          <w:szCs w:val="20"/>
        </w:rPr>
        <w:t>：                                                                                                                    单位：万元</w:t>
      </w:r>
    </w:p>
    <w:tbl>
      <w:tblPr>
        <w:tblStyle w:val="2"/>
        <w:tblW w:w="14707" w:type="dxa"/>
        <w:jc w:val="center"/>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
        <w:gridCol w:w="425"/>
        <w:gridCol w:w="425"/>
        <w:gridCol w:w="567"/>
        <w:gridCol w:w="567"/>
        <w:gridCol w:w="426"/>
        <w:gridCol w:w="567"/>
        <w:gridCol w:w="567"/>
        <w:gridCol w:w="567"/>
        <w:gridCol w:w="425"/>
        <w:gridCol w:w="567"/>
        <w:gridCol w:w="1417"/>
        <w:gridCol w:w="1143"/>
        <w:gridCol w:w="558"/>
        <w:gridCol w:w="567"/>
        <w:gridCol w:w="567"/>
        <w:gridCol w:w="567"/>
        <w:gridCol w:w="567"/>
        <w:gridCol w:w="426"/>
        <w:gridCol w:w="425"/>
        <w:gridCol w:w="709"/>
        <w:gridCol w:w="708"/>
        <w:gridCol w:w="567"/>
        <w:gridCol w:w="426"/>
        <w:gridCol w:w="4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320" w:type="dxa"/>
            <w:gridSpan w:val="15"/>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新增资产配置</w:t>
            </w:r>
          </w:p>
        </w:tc>
        <w:tc>
          <w:tcPr>
            <w:tcW w:w="4962" w:type="dxa"/>
            <w:gridSpan w:val="9"/>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存量资产</w:t>
            </w:r>
          </w:p>
        </w:tc>
        <w:tc>
          <w:tcPr>
            <w:tcW w:w="425" w:type="dxa"/>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2" w:type="dxa"/>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合计</w:t>
            </w:r>
          </w:p>
        </w:tc>
        <w:tc>
          <w:tcPr>
            <w:tcW w:w="850" w:type="dxa"/>
            <w:gridSpan w:val="2"/>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房屋及构筑物</w:t>
            </w:r>
          </w:p>
        </w:tc>
        <w:tc>
          <w:tcPr>
            <w:tcW w:w="1134" w:type="dxa"/>
            <w:gridSpan w:val="2"/>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土地</w:t>
            </w:r>
          </w:p>
        </w:tc>
        <w:tc>
          <w:tcPr>
            <w:tcW w:w="993" w:type="dxa"/>
            <w:gridSpan w:val="2"/>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车辆</w:t>
            </w:r>
          </w:p>
        </w:tc>
        <w:tc>
          <w:tcPr>
            <w:tcW w:w="2126" w:type="dxa"/>
            <w:gridSpan w:val="4"/>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办公设备</w:t>
            </w:r>
          </w:p>
        </w:tc>
        <w:tc>
          <w:tcPr>
            <w:tcW w:w="2560" w:type="dxa"/>
            <w:gridSpan w:val="2"/>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单项价值在限额以上</w:t>
            </w:r>
          </w:p>
          <w:p>
            <w:pPr>
              <w:widowControl/>
              <w:jc w:val="center"/>
              <w:rPr>
                <w:rFonts w:eastAsia="黑体"/>
                <w:color w:val="000000"/>
                <w:kern w:val="0"/>
                <w:sz w:val="18"/>
                <w:szCs w:val="18"/>
              </w:rPr>
            </w:pPr>
            <w:r>
              <w:rPr>
                <w:rFonts w:eastAsia="黑体"/>
                <w:color w:val="000000"/>
                <w:kern w:val="0"/>
                <w:sz w:val="18"/>
                <w:szCs w:val="18"/>
              </w:rPr>
              <w:t>的其他资产</w:t>
            </w:r>
          </w:p>
        </w:tc>
        <w:tc>
          <w:tcPr>
            <w:tcW w:w="1125" w:type="dxa"/>
            <w:gridSpan w:val="2"/>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单项价值在限额以下的</w:t>
            </w:r>
          </w:p>
        </w:tc>
        <w:tc>
          <w:tcPr>
            <w:tcW w:w="567" w:type="dxa"/>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房屋及构筑物</w:t>
            </w:r>
          </w:p>
        </w:tc>
        <w:tc>
          <w:tcPr>
            <w:tcW w:w="567" w:type="dxa"/>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土地</w:t>
            </w:r>
          </w:p>
        </w:tc>
        <w:tc>
          <w:tcPr>
            <w:tcW w:w="567" w:type="dxa"/>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车辆</w:t>
            </w:r>
          </w:p>
        </w:tc>
        <w:tc>
          <w:tcPr>
            <w:tcW w:w="851" w:type="dxa"/>
            <w:gridSpan w:val="2"/>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办公</w:t>
            </w:r>
          </w:p>
          <w:p>
            <w:pPr>
              <w:widowControl/>
              <w:jc w:val="center"/>
              <w:rPr>
                <w:rFonts w:eastAsia="黑体"/>
                <w:color w:val="000000"/>
                <w:kern w:val="0"/>
                <w:sz w:val="18"/>
                <w:szCs w:val="18"/>
              </w:rPr>
            </w:pPr>
            <w:r>
              <w:rPr>
                <w:rFonts w:eastAsia="黑体"/>
                <w:color w:val="000000"/>
                <w:kern w:val="0"/>
                <w:sz w:val="18"/>
                <w:szCs w:val="18"/>
              </w:rPr>
              <w:t>设备</w:t>
            </w:r>
          </w:p>
        </w:tc>
        <w:tc>
          <w:tcPr>
            <w:tcW w:w="1417" w:type="dxa"/>
            <w:gridSpan w:val="2"/>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单项价值在限额以上的其他资产</w:t>
            </w:r>
          </w:p>
        </w:tc>
        <w:tc>
          <w:tcPr>
            <w:tcW w:w="993" w:type="dxa"/>
            <w:gridSpan w:val="2"/>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单项价值在限额以下的其他资产</w:t>
            </w:r>
          </w:p>
        </w:tc>
        <w:tc>
          <w:tcPr>
            <w:tcW w:w="425" w:type="dxa"/>
            <w:vMerge w:val="continue"/>
            <w:noWrap w:val="0"/>
            <w:vAlign w:val="center"/>
          </w:tcPr>
          <w:p>
            <w:pPr>
              <w:widowControl/>
              <w:jc w:val="center"/>
              <w:rPr>
                <w:rFonts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2" w:type="dxa"/>
            <w:vMerge w:val="continue"/>
            <w:shd w:val="clear" w:color="auto" w:fill="auto"/>
            <w:noWrap w:val="0"/>
            <w:vAlign w:val="center"/>
          </w:tcPr>
          <w:p>
            <w:pPr>
              <w:widowControl/>
              <w:jc w:val="center"/>
              <w:rPr>
                <w:rFonts w:eastAsia="黑体"/>
                <w:color w:val="000000"/>
                <w:kern w:val="0"/>
                <w:sz w:val="18"/>
                <w:szCs w:val="18"/>
              </w:rPr>
            </w:pPr>
          </w:p>
        </w:tc>
        <w:tc>
          <w:tcPr>
            <w:tcW w:w="850" w:type="dxa"/>
            <w:gridSpan w:val="2"/>
            <w:vMerge w:val="continue"/>
            <w:shd w:val="clear" w:color="auto" w:fill="auto"/>
            <w:noWrap w:val="0"/>
            <w:vAlign w:val="center"/>
          </w:tcPr>
          <w:p>
            <w:pPr>
              <w:widowControl/>
              <w:jc w:val="center"/>
              <w:rPr>
                <w:rFonts w:eastAsia="黑体"/>
                <w:color w:val="000000"/>
                <w:kern w:val="0"/>
                <w:sz w:val="18"/>
                <w:szCs w:val="18"/>
              </w:rPr>
            </w:pPr>
          </w:p>
        </w:tc>
        <w:tc>
          <w:tcPr>
            <w:tcW w:w="1134" w:type="dxa"/>
            <w:gridSpan w:val="2"/>
            <w:vMerge w:val="continue"/>
            <w:shd w:val="clear" w:color="auto" w:fill="auto"/>
            <w:noWrap w:val="0"/>
            <w:vAlign w:val="center"/>
          </w:tcPr>
          <w:p>
            <w:pPr>
              <w:widowControl/>
              <w:jc w:val="center"/>
              <w:rPr>
                <w:rFonts w:eastAsia="黑体"/>
                <w:color w:val="000000"/>
                <w:kern w:val="0"/>
                <w:sz w:val="18"/>
                <w:szCs w:val="18"/>
              </w:rPr>
            </w:pPr>
          </w:p>
        </w:tc>
        <w:tc>
          <w:tcPr>
            <w:tcW w:w="993" w:type="dxa"/>
            <w:gridSpan w:val="2"/>
            <w:vMerge w:val="continue"/>
            <w:shd w:val="clear" w:color="auto" w:fill="auto"/>
            <w:noWrap w:val="0"/>
            <w:vAlign w:val="center"/>
          </w:tcPr>
          <w:p>
            <w:pPr>
              <w:widowControl/>
              <w:jc w:val="center"/>
              <w:rPr>
                <w:rFonts w:eastAsia="黑体"/>
                <w:color w:val="000000"/>
                <w:kern w:val="0"/>
                <w:sz w:val="18"/>
                <w:szCs w:val="18"/>
              </w:rPr>
            </w:pPr>
          </w:p>
        </w:tc>
        <w:tc>
          <w:tcPr>
            <w:tcW w:w="1134" w:type="dxa"/>
            <w:gridSpan w:val="2"/>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通用</w:t>
            </w:r>
          </w:p>
        </w:tc>
        <w:tc>
          <w:tcPr>
            <w:tcW w:w="992" w:type="dxa"/>
            <w:gridSpan w:val="2"/>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办公</w:t>
            </w:r>
          </w:p>
        </w:tc>
        <w:tc>
          <w:tcPr>
            <w:tcW w:w="2560" w:type="dxa"/>
            <w:gridSpan w:val="2"/>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单项50万元及以上的其他资产（事业单位）</w:t>
            </w:r>
          </w:p>
        </w:tc>
        <w:tc>
          <w:tcPr>
            <w:tcW w:w="1125" w:type="dxa"/>
            <w:gridSpan w:val="2"/>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其他资产</w:t>
            </w:r>
          </w:p>
        </w:tc>
        <w:tc>
          <w:tcPr>
            <w:tcW w:w="567" w:type="dxa"/>
            <w:vMerge w:val="continue"/>
            <w:shd w:val="clear" w:color="auto" w:fill="auto"/>
            <w:noWrap w:val="0"/>
            <w:vAlign w:val="center"/>
          </w:tcPr>
          <w:p>
            <w:pPr>
              <w:widowControl/>
              <w:jc w:val="center"/>
              <w:rPr>
                <w:rFonts w:eastAsia="黑体"/>
                <w:color w:val="000000"/>
                <w:kern w:val="0"/>
                <w:sz w:val="18"/>
                <w:szCs w:val="18"/>
              </w:rPr>
            </w:pPr>
          </w:p>
        </w:tc>
        <w:tc>
          <w:tcPr>
            <w:tcW w:w="567" w:type="dxa"/>
            <w:vMerge w:val="continue"/>
            <w:shd w:val="clear" w:color="auto" w:fill="auto"/>
            <w:noWrap w:val="0"/>
            <w:vAlign w:val="center"/>
          </w:tcPr>
          <w:p>
            <w:pPr>
              <w:widowControl/>
              <w:jc w:val="center"/>
              <w:rPr>
                <w:rFonts w:eastAsia="黑体"/>
                <w:color w:val="000000"/>
                <w:kern w:val="0"/>
                <w:sz w:val="18"/>
                <w:szCs w:val="18"/>
              </w:rPr>
            </w:pPr>
          </w:p>
        </w:tc>
        <w:tc>
          <w:tcPr>
            <w:tcW w:w="567" w:type="dxa"/>
            <w:vMerge w:val="continue"/>
            <w:shd w:val="clear" w:color="auto" w:fill="auto"/>
            <w:noWrap w:val="0"/>
            <w:vAlign w:val="center"/>
          </w:tcPr>
          <w:p>
            <w:pPr>
              <w:widowControl/>
              <w:jc w:val="center"/>
              <w:rPr>
                <w:rFonts w:eastAsia="黑体"/>
                <w:color w:val="000000"/>
                <w:kern w:val="0"/>
                <w:sz w:val="18"/>
                <w:szCs w:val="18"/>
              </w:rPr>
            </w:pPr>
          </w:p>
        </w:tc>
        <w:tc>
          <w:tcPr>
            <w:tcW w:w="426" w:type="dxa"/>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通用设备</w:t>
            </w:r>
          </w:p>
        </w:tc>
        <w:tc>
          <w:tcPr>
            <w:tcW w:w="425" w:type="dxa"/>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办公家具</w:t>
            </w:r>
          </w:p>
        </w:tc>
        <w:tc>
          <w:tcPr>
            <w:tcW w:w="709" w:type="dxa"/>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单项20万元及以上的其他资产（党政机关）</w:t>
            </w:r>
          </w:p>
        </w:tc>
        <w:tc>
          <w:tcPr>
            <w:tcW w:w="708" w:type="dxa"/>
            <w:vMerge w:val="restart"/>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单项50万元及以上的其他资产（非参公管理事业单位）</w:t>
            </w:r>
          </w:p>
        </w:tc>
        <w:tc>
          <w:tcPr>
            <w:tcW w:w="993" w:type="dxa"/>
            <w:gridSpan w:val="2"/>
            <w:vMerge w:val="continue"/>
            <w:noWrap w:val="0"/>
            <w:vAlign w:val="center"/>
          </w:tcPr>
          <w:p>
            <w:pPr>
              <w:widowControl/>
              <w:jc w:val="center"/>
              <w:rPr>
                <w:rFonts w:eastAsia="黑体"/>
                <w:color w:val="000000"/>
                <w:kern w:val="0"/>
                <w:sz w:val="18"/>
                <w:szCs w:val="18"/>
              </w:rPr>
            </w:pPr>
          </w:p>
        </w:tc>
        <w:tc>
          <w:tcPr>
            <w:tcW w:w="425" w:type="dxa"/>
            <w:vMerge w:val="continue"/>
            <w:noWrap w:val="0"/>
            <w:vAlign w:val="center"/>
          </w:tcPr>
          <w:p>
            <w:pPr>
              <w:widowControl/>
              <w:jc w:val="center"/>
              <w:rPr>
                <w:rFonts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2" w:type="dxa"/>
            <w:vMerge w:val="continue"/>
            <w:shd w:val="clear" w:color="auto" w:fill="auto"/>
            <w:noWrap w:val="0"/>
            <w:vAlign w:val="center"/>
          </w:tcPr>
          <w:p>
            <w:pPr>
              <w:widowControl/>
              <w:jc w:val="center"/>
              <w:rPr>
                <w:rFonts w:eastAsia="黑体"/>
                <w:color w:val="000000"/>
                <w:kern w:val="0"/>
                <w:sz w:val="18"/>
                <w:szCs w:val="18"/>
              </w:rPr>
            </w:pPr>
          </w:p>
        </w:tc>
        <w:tc>
          <w:tcPr>
            <w:tcW w:w="850" w:type="dxa"/>
            <w:gridSpan w:val="2"/>
            <w:vMerge w:val="continue"/>
            <w:shd w:val="clear" w:color="auto" w:fill="auto"/>
            <w:noWrap w:val="0"/>
            <w:vAlign w:val="center"/>
          </w:tcPr>
          <w:p>
            <w:pPr>
              <w:widowControl/>
              <w:jc w:val="center"/>
              <w:rPr>
                <w:rFonts w:eastAsia="黑体"/>
                <w:color w:val="000000"/>
                <w:kern w:val="0"/>
                <w:sz w:val="18"/>
                <w:szCs w:val="18"/>
              </w:rPr>
            </w:pPr>
          </w:p>
        </w:tc>
        <w:tc>
          <w:tcPr>
            <w:tcW w:w="1134" w:type="dxa"/>
            <w:gridSpan w:val="2"/>
            <w:vMerge w:val="continue"/>
            <w:shd w:val="clear" w:color="auto" w:fill="auto"/>
            <w:noWrap w:val="0"/>
            <w:vAlign w:val="center"/>
          </w:tcPr>
          <w:p>
            <w:pPr>
              <w:widowControl/>
              <w:jc w:val="center"/>
              <w:rPr>
                <w:rFonts w:eastAsia="黑体"/>
                <w:color w:val="000000"/>
                <w:kern w:val="0"/>
                <w:sz w:val="18"/>
                <w:szCs w:val="18"/>
              </w:rPr>
            </w:pPr>
          </w:p>
        </w:tc>
        <w:tc>
          <w:tcPr>
            <w:tcW w:w="993" w:type="dxa"/>
            <w:gridSpan w:val="2"/>
            <w:vMerge w:val="continue"/>
            <w:shd w:val="clear" w:color="auto" w:fill="auto"/>
            <w:noWrap w:val="0"/>
            <w:vAlign w:val="center"/>
          </w:tcPr>
          <w:p>
            <w:pPr>
              <w:widowControl/>
              <w:jc w:val="center"/>
              <w:rPr>
                <w:rFonts w:eastAsia="黑体"/>
                <w:color w:val="000000"/>
                <w:kern w:val="0"/>
                <w:sz w:val="18"/>
                <w:szCs w:val="18"/>
              </w:rPr>
            </w:pPr>
          </w:p>
        </w:tc>
        <w:tc>
          <w:tcPr>
            <w:tcW w:w="1134" w:type="dxa"/>
            <w:gridSpan w:val="2"/>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设备</w:t>
            </w:r>
          </w:p>
        </w:tc>
        <w:tc>
          <w:tcPr>
            <w:tcW w:w="992" w:type="dxa"/>
            <w:gridSpan w:val="2"/>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家具</w:t>
            </w:r>
          </w:p>
        </w:tc>
        <w:tc>
          <w:tcPr>
            <w:tcW w:w="2560" w:type="dxa"/>
            <w:gridSpan w:val="2"/>
            <w:vMerge w:val="continue"/>
            <w:shd w:val="clear" w:color="auto" w:fill="auto"/>
            <w:noWrap w:val="0"/>
            <w:vAlign w:val="center"/>
          </w:tcPr>
          <w:p>
            <w:pPr>
              <w:widowControl/>
              <w:jc w:val="center"/>
              <w:rPr>
                <w:rFonts w:eastAsia="黑体"/>
                <w:color w:val="000000"/>
                <w:kern w:val="0"/>
                <w:sz w:val="18"/>
                <w:szCs w:val="18"/>
              </w:rPr>
            </w:pPr>
          </w:p>
        </w:tc>
        <w:tc>
          <w:tcPr>
            <w:tcW w:w="1125" w:type="dxa"/>
            <w:gridSpan w:val="2"/>
            <w:shd w:val="clear" w:color="auto" w:fill="auto"/>
            <w:noWrap w:val="0"/>
            <w:vAlign w:val="center"/>
          </w:tcPr>
          <w:p>
            <w:pPr>
              <w:widowControl/>
              <w:jc w:val="center"/>
              <w:rPr>
                <w:rFonts w:eastAsia="黑体"/>
                <w:color w:val="000000"/>
                <w:kern w:val="0"/>
                <w:sz w:val="18"/>
                <w:szCs w:val="18"/>
              </w:rPr>
            </w:pPr>
          </w:p>
        </w:tc>
        <w:tc>
          <w:tcPr>
            <w:tcW w:w="567" w:type="dxa"/>
            <w:vMerge w:val="continue"/>
            <w:noWrap w:val="0"/>
            <w:vAlign w:val="center"/>
          </w:tcPr>
          <w:p>
            <w:pPr>
              <w:widowControl/>
              <w:jc w:val="center"/>
              <w:rPr>
                <w:rFonts w:eastAsia="黑体"/>
                <w:color w:val="000000"/>
                <w:kern w:val="0"/>
                <w:sz w:val="18"/>
                <w:szCs w:val="18"/>
              </w:rPr>
            </w:pPr>
          </w:p>
        </w:tc>
        <w:tc>
          <w:tcPr>
            <w:tcW w:w="567" w:type="dxa"/>
            <w:vMerge w:val="continue"/>
            <w:noWrap w:val="0"/>
            <w:vAlign w:val="center"/>
          </w:tcPr>
          <w:p>
            <w:pPr>
              <w:widowControl/>
              <w:jc w:val="center"/>
              <w:rPr>
                <w:rFonts w:eastAsia="黑体"/>
                <w:color w:val="000000"/>
                <w:kern w:val="0"/>
                <w:sz w:val="18"/>
                <w:szCs w:val="18"/>
              </w:rPr>
            </w:pPr>
          </w:p>
        </w:tc>
        <w:tc>
          <w:tcPr>
            <w:tcW w:w="567" w:type="dxa"/>
            <w:vMerge w:val="continue"/>
            <w:noWrap w:val="0"/>
            <w:vAlign w:val="center"/>
          </w:tcPr>
          <w:p>
            <w:pPr>
              <w:widowControl/>
              <w:jc w:val="center"/>
              <w:rPr>
                <w:rFonts w:eastAsia="黑体"/>
                <w:color w:val="000000"/>
                <w:kern w:val="0"/>
                <w:sz w:val="18"/>
                <w:szCs w:val="18"/>
              </w:rPr>
            </w:pPr>
          </w:p>
        </w:tc>
        <w:tc>
          <w:tcPr>
            <w:tcW w:w="426" w:type="dxa"/>
            <w:vMerge w:val="continue"/>
            <w:noWrap w:val="0"/>
            <w:vAlign w:val="center"/>
          </w:tcPr>
          <w:p>
            <w:pPr>
              <w:widowControl/>
              <w:jc w:val="center"/>
              <w:rPr>
                <w:rFonts w:eastAsia="黑体"/>
                <w:color w:val="000000"/>
                <w:kern w:val="0"/>
                <w:sz w:val="18"/>
                <w:szCs w:val="18"/>
              </w:rPr>
            </w:pPr>
          </w:p>
        </w:tc>
        <w:tc>
          <w:tcPr>
            <w:tcW w:w="425" w:type="dxa"/>
            <w:vMerge w:val="continue"/>
            <w:noWrap w:val="0"/>
            <w:vAlign w:val="center"/>
          </w:tcPr>
          <w:p>
            <w:pPr>
              <w:widowControl/>
              <w:jc w:val="center"/>
              <w:rPr>
                <w:rFonts w:eastAsia="黑体"/>
                <w:color w:val="000000"/>
                <w:kern w:val="0"/>
                <w:sz w:val="18"/>
                <w:szCs w:val="18"/>
              </w:rPr>
            </w:pPr>
          </w:p>
        </w:tc>
        <w:tc>
          <w:tcPr>
            <w:tcW w:w="709" w:type="dxa"/>
            <w:vMerge w:val="continue"/>
            <w:noWrap w:val="0"/>
            <w:vAlign w:val="center"/>
          </w:tcPr>
          <w:p>
            <w:pPr>
              <w:widowControl/>
              <w:jc w:val="center"/>
              <w:rPr>
                <w:rFonts w:eastAsia="黑体"/>
                <w:color w:val="000000"/>
                <w:kern w:val="0"/>
                <w:sz w:val="18"/>
                <w:szCs w:val="18"/>
              </w:rPr>
            </w:pPr>
          </w:p>
        </w:tc>
        <w:tc>
          <w:tcPr>
            <w:tcW w:w="708" w:type="dxa"/>
            <w:vMerge w:val="continue"/>
            <w:noWrap w:val="0"/>
            <w:vAlign w:val="center"/>
          </w:tcPr>
          <w:p>
            <w:pPr>
              <w:widowControl/>
              <w:jc w:val="center"/>
              <w:rPr>
                <w:rFonts w:eastAsia="黑体"/>
                <w:color w:val="000000"/>
                <w:kern w:val="0"/>
                <w:sz w:val="18"/>
                <w:szCs w:val="18"/>
              </w:rPr>
            </w:pPr>
          </w:p>
        </w:tc>
        <w:tc>
          <w:tcPr>
            <w:tcW w:w="993" w:type="dxa"/>
            <w:gridSpan w:val="2"/>
            <w:vMerge w:val="continue"/>
            <w:noWrap w:val="0"/>
            <w:vAlign w:val="center"/>
          </w:tcPr>
          <w:p>
            <w:pPr>
              <w:widowControl/>
              <w:jc w:val="center"/>
              <w:rPr>
                <w:rFonts w:eastAsia="黑体"/>
                <w:color w:val="000000"/>
                <w:kern w:val="0"/>
                <w:sz w:val="18"/>
                <w:szCs w:val="18"/>
              </w:rPr>
            </w:pPr>
          </w:p>
        </w:tc>
        <w:tc>
          <w:tcPr>
            <w:tcW w:w="425" w:type="dxa"/>
            <w:vMerge w:val="continue"/>
            <w:noWrap w:val="0"/>
            <w:vAlign w:val="center"/>
          </w:tcPr>
          <w:p>
            <w:pPr>
              <w:widowControl/>
              <w:jc w:val="center"/>
              <w:rPr>
                <w:rFonts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2"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金额</w:t>
            </w:r>
          </w:p>
        </w:tc>
        <w:tc>
          <w:tcPr>
            <w:tcW w:w="425"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平方米</w:t>
            </w:r>
          </w:p>
        </w:tc>
        <w:tc>
          <w:tcPr>
            <w:tcW w:w="425"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金额</w:t>
            </w:r>
          </w:p>
        </w:tc>
        <w:tc>
          <w:tcPr>
            <w:tcW w:w="56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平方米</w:t>
            </w:r>
          </w:p>
        </w:tc>
        <w:tc>
          <w:tcPr>
            <w:tcW w:w="56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金额</w:t>
            </w:r>
          </w:p>
        </w:tc>
        <w:tc>
          <w:tcPr>
            <w:tcW w:w="426"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辆</w:t>
            </w:r>
          </w:p>
        </w:tc>
        <w:tc>
          <w:tcPr>
            <w:tcW w:w="56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金额</w:t>
            </w:r>
          </w:p>
        </w:tc>
        <w:tc>
          <w:tcPr>
            <w:tcW w:w="56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台/套</w:t>
            </w:r>
          </w:p>
        </w:tc>
        <w:tc>
          <w:tcPr>
            <w:tcW w:w="56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金额</w:t>
            </w:r>
          </w:p>
        </w:tc>
        <w:tc>
          <w:tcPr>
            <w:tcW w:w="425"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台/套</w:t>
            </w:r>
          </w:p>
        </w:tc>
        <w:tc>
          <w:tcPr>
            <w:tcW w:w="56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金额</w:t>
            </w:r>
          </w:p>
        </w:tc>
        <w:tc>
          <w:tcPr>
            <w:tcW w:w="141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台/套</w:t>
            </w:r>
          </w:p>
        </w:tc>
        <w:tc>
          <w:tcPr>
            <w:tcW w:w="1143"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金额</w:t>
            </w:r>
          </w:p>
        </w:tc>
        <w:tc>
          <w:tcPr>
            <w:tcW w:w="558"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台/套</w:t>
            </w:r>
          </w:p>
        </w:tc>
        <w:tc>
          <w:tcPr>
            <w:tcW w:w="56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金额</w:t>
            </w:r>
          </w:p>
        </w:tc>
        <w:tc>
          <w:tcPr>
            <w:tcW w:w="56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平方米</w:t>
            </w:r>
          </w:p>
        </w:tc>
        <w:tc>
          <w:tcPr>
            <w:tcW w:w="56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平方米</w:t>
            </w:r>
          </w:p>
        </w:tc>
        <w:tc>
          <w:tcPr>
            <w:tcW w:w="56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辆</w:t>
            </w:r>
          </w:p>
        </w:tc>
        <w:tc>
          <w:tcPr>
            <w:tcW w:w="426"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台/套</w:t>
            </w:r>
          </w:p>
        </w:tc>
        <w:tc>
          <w:tcPr>
            <w:tcW w:w="425"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台/套</w:t>
            </w:r>
          </w:p>
        </w:tc>
        <w:tc>
          <w:tcPr>
            <w:tcW w:w="709"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台/套</w:t>
            </w:r>
          </w:p>
        </w:tc>
        <w:tc>
          <w:tcPr>
            <w:tcW w:w="708"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台/套</w:t>
            </w:r>
          </w:p>
        </w:tc>
        <w:tc>
          <w:tcPr>
            <w:tcW w:w="567"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台/套</w:t>
            </w:r>
          </w:p>
        </w:tc>
        <w:tc>
          <w:tcPr>
            <w:tcW w:w="426" w:type="dxa"/>
            <w:shd w:val="clear" w:color="auto" w:fill="auto"/>
            <w:noWrap w:val="0"/>
            <w:vAlign w:val="center"/>
          </w:tcPr>
          <w:p>
            <w:pPr>
              <w:widowControl/>
              <w:jc w:val="center"/>
              <w:rPr>
                <w:rFonts w:eastAsia="黑体"/>
                <w:color w:val="000000"/>
                <w:kern w:val="0"/>
                <w:sz w:val="18"/>
                <w:szCs w:val="18"/>
              </w:rPr>
            </w:pPr>
            <w:r>
              <w:rPr>
                <w:rFonts w:eastAsia="黑体"/>
                <w:color w:val="000000"/>
                <w:kern w:val="0"/>
                <w:sz w:val="18"/>
                <w:szCs w:val="18"/>
              </w:rPr>
              <w:t>金额</w:t>
            </w:r>
          </w:p>
        </w:tc>
        <w:tc>
          <w:tcPr>
            <w:tcW w:w="425" w:type="dxa"/>
            <w:vMerge w:val="continue"/>
            <w:noWrap w:val="0"/>
            <w:vAlign w:val="center"/>
          </w:tcPr>
          <w:p>
            <w:pPr>
              <w:widowControl/>
              <w:jc w:val="center"/>
              <w:rPr>
                <w:rFonts w:eastAsia="黑体"/>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2"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6"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1417" w:type="dxa"/>
            <w:shd w:val="clear" w:color="auto" w:fill="auto"/>
            <w:noWrap w:val="0"/>
            <w:vAlign w:val="center"/>
          </w:tcPr>
          <w:p>
            <w:pPr>
              <w:widowControl/>
              <w:jc w:val="center"/>
              <w:rPr>
                <w:rFonts w:eastAsia="黑体"/>
                <w:color w:val="000000"/>
                <w:kern w:val="0"/>
                <w:sz w:val="18"/>
                <w:szCs w:val="18"/>
              </w:rPr>
            </w:pPr>
          </w:p>
        </w:tc>
        <w:tc>
          <w:tcPr>
            <w:tcW w:w="1143" w:type="dxa"/>
            <w:shd w:val="clear" w:color="auto" w:fill="auto"/>
            <w:noWrap w:val="0"/>
            <w:vAlign w:val="center"/>
          </w:tcPr>
          <w:p>
            <w:pPr>
              <w:widowControl/>
              <w:jc w:val="center"/>
              <w:rPr>
                <w:rFonts w:eastAsia="仿宋_GB2312"/>
                <w:color w:val="000000"/>
                <w:kern w:val="0"/>
                <w:sz w:val="18"/>
                <w:szCs w:val="18"/>
              </w:rPr>
            </w:pPr>
          </w:p>
        </w:tc>
        <w:tc>
          <w:tcPr>
            <w:tcW w:w="558"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6"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709" w:type="dxa"/>
            <w:shd w:val="clear" w:color="auto" w:fill="auto"/>
            <w:noWrap w:val="0"/>
            <w:vAlign w:val="center"/>
          </w:tcPr>
          <w:p>
            <w:pPr>
              <w:widowControl/>
              <w:jc w:val="center"/>
              <w:rPr>
                <w:rFonts w:eastAsia="仿宋_GB2312"/>
                <w:color w:val="000000"/>
                <w:kern w:val="0"/>
                <w:sz w:val="18"/>
                <w:szCs w:val="18"/>
              </w:rPr>
            </w:pPr>
          </w:p>
        </w:tc>
        <w:tc>
          <w:tcPr>
            <w:tcW w:w="708"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6"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2"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6"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1417" w:type="dxa"/>
            <w:shd w:val="clear" w:color="auto" w:fill="auto"/>
            <w:noWrap w:val="0"/>
            <w:vAlign w:val="center"/>
          </w:tcPr>
          <w:p>
            <w:pPr>
              <w:widowControl/>
              <w:jc w:val="center"/>
              <w:rPr>
                <w:rFonts w:eastAsia="黑体"/>
                <w:color w:val="000000"/>
                <w:kern w:val="0"/>
                <w:sz w:val="18"/>
                <w:szCs w:val="18"/>
              </w:rPr>
            </w:pPr>
          </w:p>
        </w:tc>
        <w:tc>
          <w:tcPr>
            <w:tcW w:w="1143" w:type="dxa"/>
            <w:shd w:val="clear" w:color="auto" w:fill="auto"/>
            <w:noWrap w:val="0"/>
            <w:vAlign w:val="center"/>
          </w:tcPr>
          <w:p>
            <w:pPr>
              <w:widowControl/>
              <w:jc w:val="center"/>
              <w:rPr>
                <w:rFonts w:eastAsia="仿宋_GB2312"/>
                <w:color w:val="000000"/>
                <w:kern w:val="0"/>
                <w:sz w:val="18"/>
                <w:szCs w:val="18"/>
              </w:rPr>
            </w:pPr>
          </w:p>
        </w:tc>
        <w:tc>
          <w:tcPr>
            <w:tcW w:w="558"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6"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709" w:type="dxa"/>
            <w:shd w:val="clear" w:color="auto" w:fill="auto"/>
            <w:noWrap w:val="0"/>
            <w:vAlign w:val="center"/>
          </w:tcPr>
          <w:p>
            <w:pPr>
              <w:widowControl/>
              <w:jc w:val="center"/>
              <w:rPr>
                <w:rFonts w:eastAsia="仿宋_GB2312"/>
                <w:color w:val="000000"/>
                <w:kern w:val="0"/>
                <w:sz w:val="18"/>
                <w:szCs w:val="18"/>
              </w:rPr>
            </w:pPr>
          </w:p>
        </w:tc>
        <w:tc>
          <w:tcPr>
            <w:tcW w:w="708"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6"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532"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6"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1417" w:type="dxa"/>
            <w:shd w:val="clear" w:color="auto" w:fill="auto"/>
            <w:noWrap w:val="0"/>
            <w:vAlign w:val="center"/>
          </w:tcPr>
          <w:p>
            <w:pPr>
              <w:widowControl/>
              <w:jc w:val="center"/>
              <w:rPr>
                <w:rFonts w:eastAsia="黑体"/>
                <w:color w:val="000000"/>
                <w:kern w:val="0"/>
                <w:sz w:val="18"/>
                <w:szCs w:val="18"/>
              </w:rPr>
            </w:pPr>
          </w:p>
        </w:tc>
        <w:tc>
          <w:tcPr>
            <w:tcW w:w="1143" w:type="dxa"/>
            <w:shd w:val="clear" w:color="auto" w:fill="auto"/>
            <w:noWrap w:val="0"/>
            <w:vAlign w:val="center"/>
          </w:tcPr>
          <w:p>
            <w:pPr>
              <w:widowControl/>
              <w:jc w:val="center"/>
              <w:rPr>
                <w:rFonts w:eastAsia="仿宋_GB2312"/>
                <w:color w:val="000000"/>
                <w:kern w:val="0"/>
                <w:sz w:val="18"/>
                <w:szCs w:val="18"/>
              </w:rPr>
            </w:pPr>
          </w:p>
        </w:tc>
        <w:tc>
          <w:tcPr>
            <w:tcW w:w="558"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6"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c>
          <w:tcPr>
            <w:tcW w:w="709" w:type="dxa"/>
            <w:shd w:val="clear" w:color="auto" w:fill="auto"/>
            <w:noWrap w:val="0"/>
            <w:vAlign w:val="center"/>
          </w:tcPr>
          <w:p>
            <w:pPr>
              <w:widowControl/>
              <w:jc w:val="center"/>
              <w:rPr>
                <w:rFonts w:eastAsia="仿宋_GB2312"/>
                <w:color w:val="000000"/>
                <w:kern w:val="0"/>
                <w:sz w:val="18"/>
                <w:szCs w:val="18"/>
              </w:rPr>
            </w:pPr>
          </w:p>
        </w:tc>
        <w:tc>
          <w:tcPr>
            <w:tcW w:w="708" w:type="dxa"/>
            <w:shd w:val="clear" w:color="auto" w:fill="auto"/>
            <w:noWrap w:val="0"/>
            <w:vAlign w:val="center"/>
          </w:tcPr>
          <w:p>
            <w:pPr>
              <w:widowControl/>
              <w:jc w:val="center"/>
              <w:rPr>
                <w:rFonts w:eastAsia="仿宋_GB2312"/>
                <w:color w:val="000000"/>
                <w:kern w:val="0"/>
                <w:sz w:val="18"/>
                <w:szCs w:val="18"/>
              </w:rPr>
            </w:pPr>
          </w:p>
        </w:tc>
        <w:tc>
          <w:tcPr>
            <w:tcW w:w="567" w:type="dxa"/>
            <w:shd w:val="clear" w:color="auto" w:fill="auto"/>
            <w:noWrap w:val="0"/>
            <w:vAlign w:val="center"/>
          </w:tcPr>
          <w:p>
            <w:pPr>
              <w:widowControl/>
              <w:jc w:val="center"/>
              <w:rPr>
                <w:rFonts w:eastAsia="仿宋_GB2312"/>
                <w:color w:val="000000"/>
                <w:kern w:val="0"/>
                <w:sz w:val="18"/>
                <w:szCs w:val="18"/>
              </w:rPr>
            </w:pPr>
          </w:p>
        </w:tc>
        <w:tc>
          <w:tcPr>
            <w:tcW w:w="426" w:type="dxa"/>
            <w:shd w:val="clear" w:color="auto" w:fill="auto"/>
            <w:noWrap w:val="0"/>
            <w:vAlign w:val="center"/>
          </w:tcPr>
          <w:p>
            <w:pPr>
              <w:widowControl/>
              <w:jc w:val="center"/>
              <w:rPr>
                <w:rFonts w:eastAsia="仿宋_GB2312"/>
                <w:color w:val="000000"/>
                <w:kern w:val="0"/>
                <w:sz w:val="18"/>
                <w:szCs w:val="18"/>
              </w:rPr>
            </w:pPr>
          </w:p>
        </w:tc>
        <w:tc>
          <w:tcPr>
            <w:tcW w:w="425" w:type="dxa"/>
            <w:shd w:val="clear" w:color="auto" w:fill="auto"/>
            <w:noWrap w:val="0"/>
            <w:vAlign w:val="center"/>
          </w:tcPr>
          <w:p>
            <w:pPr>
              <w:widowControl/>
              <w:jc w:val="center"/>
              <w:rPr>
                <w:rFonts w:eastAsia="仿宋_GB2312"/>
                <w:color w:val="000000"/>
                <w:kern w:val="0"/>
                <w:sz w:val="18"/>
                <w:szCs w:val="18"/>
              </w:rPr>
            </w:pPr>
          </w:p>
        </w:tc>
      </w:tr>
    </w:tbl>
    <w:p>
      <w:pPr>
        <w:tabs>
          <w:tab w:val="left" w:pos="5760"/>
          <w:tab w:val="left" w:pos="8460"/>
          <w:tab w:val="left" w:pos="8640"/>
          <w:tab w:val="left" w:pos="8820"/>
          <w:tab w:val="left" w:pos="9180"/>
          <w:tab w:val="left" w:pos="9360"/>
        </w:tabs>
        <w:ind w:left="-178" w:leftChars="-85" w:firstLine="800"/>
        <w:rPr>
          <w:rFonts w:eastAsia="Times New Roman"/>
          <w:sz w:val="40"/>
          <w:szCs w:val="40"/>
        </w:rPr>
      </w:pPr>
    </w:p>
    <w:p>
      <w:pPr>
        <w:tabs>
          <w:tab w:val="left" w:pos="5760"/>
          <w:tab w:val="left" w:pos="8460"/>
          <w:tab w:val="left" w:pos="8640"/>
          <w:tab w:val="left" w:pos="8820"/>
          <w:tab w:val="left" w:pos="9180"/>
          <w:tab w:val="left" w:pos="9360"/>
        </w:tabs>
        <w:ind w:left="-178" w:leftChars="-85" w:firstLine="800"/>
        <w:rPr>
          <w:rFonts w:eastAsia="Times New Roman"/>
          <w:sz w:val="40"/>
          <w:szCs w:val="40"/>
        </w:rPr>
        <w:sectPr>
          <w:pgSz w:w="16837" w:h="11905" w:orient="landscape"/>
          <w:pgMar w:top="1134" w:right="1134" w:bottom="1134" w:left="1134" w:header="624" w:footer="1134" w:gutter="0"/>
          <w:pgNumType w:fmt="numberInDash"/>
          <w:cols w:space="720" w:num="1"/>
          <w:docGrid w:linePitch="636" w:charSpace="20838"/>
        </w:sectPr>
      </w:pPr>
    </w:p>
    <w:p>
      <w:pPr>
        <w:tabs>
          <w:tab w:val="left" w:pos="5760"/>
          <w:tab w:val="left" w:pos="8460"/>
          <w:tab w:val="left" w:pos="8640"/>
          <w:tab w:val="left" w:pos="8820"/>
          <w:tab w:val="left" w:pos="9180"/>
          <w:tab w:val="left" w:pos="9360"/>
        </w:tabs>
        <w:spacing w:line="560" w:lineRule="exact"/>
        <w:rPr>
          <w:rFonts w:eastAsia="黑体"/>
          <w:bCs/>
          <w:kern w:val="0"/>
          <w:sz w:val="32"/>
          <w:szCs w:val="32"/>
        </w:rPr>
      </w:pPr>
      <w:r>
        <w:rPr>
          <w:rFonts w:eastAsia="黑体"/>
          <w:bCs/>
          <w:kern w:val="0"/>
          <w:sz w:val="32"/>
          <w:szCs w:val="32"/>
        </w:rPr>
        <w:t>附件</w:t>
      </w:r>
      <w:r>
        <w:rPr>
          <w:rFonts w:hint="eastAsia" w:eastAsia="黑体"/>
          <w:bCs/>
          <w:kern w:val="0"/>
          <w:sz w:val="32"/>
          <w:szCs w:val="32"/>
          <w:lang w:val="en-US" w:eastAsia="zh-CN"/>
        </w:rPr>
        <w:t>2</w:t>
      </w:r>
      <w:r>
        <w:rPr>
          <w:rFonts w:eastAsia="黑体"/>
          <w:bCs/>
          <w:kern w:val="0"/>
          <w:sz w:val="32"/>
          <w:szCs w:val="32"/>
        </w:rPr>
        <w:t>-3</w:t>
      </w:r>
    </w:p>
    <w:p>
      <w:pPr>
        <w:spacing w:line="560" w:lineRule="exact"/>
        <w:jc w:val="center"/>
        <w:rPr>
          <w:rFonts w:eastAsia="方正小标宋_GBK"/>
          <w:sz w:val="36"/>
          <w:szCs w:val="36"/>
        </w:rPr>
      </w:pPr>
    </w:p>
    <w:p>
      <w:pPr>
        <w:spacing w:line="560" w:lineRule="exact"/>
        <w:jc w:val="center"/>
        <w:rPr>
          <w:rFonts w:eastAsia="方正小标宋_GBK"/>
          <w:sz w:val="36"/>
          <w:szCs w:val="36"/>
        </w:rPr>
      </w:pPr>
      <w:r>
        <w:rPr>
          <w:rFonts w:eastAsia="方正小标宋_GBK"/>
          <w:sz w:val="36"/>
          <w:szCs w:val="36"/>
        </w:rPr>
        <w:t>2020年</w:t>
      </w:r>
      <w:r>
        <w:rPr>
          <w:rFonts w:hint="eastAsia" w:eastAsia="方正小标宋_GBK"/>
          <w:sz w:val="36"/>
          <w:szCs w:val="36"/>
          <w:lang w:val="en-US" w:eastAsia="zh-CN"/>
        </w:rPr>
        <w:t>学院</w:t>
      </w:r>
      <w:r>
        <w:rPr>
          <w:rFonts w:eastAsia="方正小标宋_GBK"/>
          <w:sz w:val="36"/>
          <w:szCs w:val="36"/>
        </w:rPr>
        <w:t>新增资产申报表编报说明</w:t>
      </w:r>
    </w:p>
    <w:p>
      <w:pPr>
        <w:spacing w:line="560" w:lineRule="exact"/>
        <w:ind w:firstLine="643" w:firstLineChars="200"/>
        <w:rPr>
          <w:rFonts w:eastAsia="仿宋_GB2312"/>
          <w:b/>
          <w:sz w:val="32"/>
          <w:szCs w:val="32"/>
        </w:rPr>
      </w:pPr>
    </w:p>
    <w:p>
      <w:pPr>
        <w:spacing w:line="560" w:lineRule="exact"/>
        <w:ind w:firstLine="640" w:firstLineChars="200"/>
        <w:rPr>
          <w:rFonts w:eastAsia="黑体"/>
          <w:sz w:val="32"/>
          <w:szCs w:val="32"/>
        </w:rPr>
      </w:pPr>
      <w:r>
        <w:rPr>
          <w:rFonts w:eastAsia="黑体"/>
          <w:sz w:val="32"/>
          <w:szCs w:val="32"/>
        </w:rPr>
        <w:t>一、关于房屋及构筑物</w:t>
      </w:r>
    </w:p>
    <w:p>
      <w:pPr>
        <w:spacing w:line="560" w:lineRule="exact"/>
        <w:ind w:firstLine="640" w:firstLineChars="200"/>
        <w:rPr>
          <w:rFonts w:eastAsia="仿宋_GB2312"/>
          <w:sz w:val="32"/>
          <w:szCs w:val="32"/>
        </w:rPr>
      </w:pPr>
      <w:r>
        <w:rPr>
          <w:rFonts w:eastAsia="仿宋_GB2312"/>
          <w:sz w:val="32"/>
          <w:szCs w:val="32"/>
        </w:rPr>
        <w:t>1、本表所列房屋及构筑物是指按照国家现行法律法规及政策规定可以建造的房屋及构筑物。</w:t>
      </w:r>
    </w:p>
    <w:p>
      <w:pPr>
        <w:spacing w:line="560" w:lineRule="exact"/>
        <w:ind w:firstLine="640" w:firstLineChars="200"/>
        <w:rPr>
          <w:rFonts w:eastAsia="仿宋_GB2312"/>
          <w:sz w:val="32"/>
          <w:szCs w:val="32"/>
        </w:rPr>
      </w:pPr>
      <w:r>
        <w:rPr>
          <w:rFonts w:eastAsia="仿宋_GB2312"/>
          <w:sz w:val="32"/>
          <w:szCs w:val="32"/>
        </w:rPr>
        <w:t>2、新增资产名称，是指拟新增房屋或构筑物项目的名称。</w:t>
      </w:r>
    </w:p>
    <w:p>
      <w:pPr>
        <w:spacing w:line="560" w:lineRule="exact"/>
        <w:ind w:firstLine="640" w:firstLineChars="200"/>
        <w:rPr>
          <w:rFonts w:eastAsia="仿宋_GB2312"/>
          <w:sz w:val="32"/>
          <w:szCs w:val="32"/>
        </w:rPr>
      </w:pPr>
      <w:r>
        <w:rPr>
          <w:rFonts w:eastAsia="仿宋_GB2312"/>
          <w:sz w:val="32"/>
          <w:szCs w:val="32"/>
        </w:rPr>
        <w:t>3、新增数量，是指拟新增资产的数量，房屋及构筑物面积统一按平方米作为计量单位。</w:t>
      </w:r>
    </w:p>
    <w:p>
      <w:pPr>
        <w:spacing w:line="560" w:lineRule="exact"/>
        <w:ind w:firstLine="640" w:firstLineChars="200"/>
        <w:rPr>
          <w:rFonts w:eastAsia="仿宋_GB2312"/>
          <w:sz w:val="32"/>
          <w:szCs w:val="32"/>
        </w:rPr>
      </w:pPr>
      <w:r>
        <w:rPr>
          <w:rFonts w:eastAsia="仿宋_GB2312"/>
          <w:sz w:val="32"/>
          <w:szCs w:val="32"/>
        </w:rPr>
        <w:t>4、申报资金，是指拟新增资产所需资金。</w:t>
      </w:r>
    </w:p>
    <w:p>
      <w:pPr>
        <w:spacing w:line="560" w:lineRule="exact"/>
        <w:ind w:firstLine="640" w:firstLineChars="200"/>
        <w:rPr>
          <w:rFonts w:eastAsia="仿宋_GB2312"/>
          <w:sz w:val="32"/>
          <w:szCs w:val="32"/>
        </w:rPr>
      </w:pPr>
      <w:r>
        <w:rPr>
          <w:rFonts w:eastAsia="仿宋_GB2312"/>
          <w:sz w:val="32"/>
          <w:szCs w:val="32"/>
        </w:rPr>
        <w:t>5、</w:t>
      </w:r>
      <w:r>
        <w:rPr>
          <w:rFonts w:eastAsia="仿宋_GB2312"/>
          <w:bCs/>
          <w:sz w:val="32"/>
          <w:szCs w:val="32"/>
        </w:rPr>
        <w:t>资金来源</w:t>
      </w:r>
      <w:r>
        <w:rPr>
          <w:rFonts w:eastAsia="仿宋_GB2312"/>
          <w:sz w:val="32"/>
          <w:szCs w:val="32"/>
        </w:rPr>
        <w:t>包括一般公共预算财政拨款、政府性基金拨款、纳入专户管理非税收入拨款、中央补助资金、其他资金等各项资金。</w:t>
      </w:r>
    </w:p>
    <w:p>
      <w:pPr>
        <w:spacing w:line="560" w:lineRule="exact"/>
        <w:ind w:firstLine="640" w:firstLineChars="200"/>
        <w:rPr>
          <w:rFonts w:eastAsia="仿宋_GB2312"/>
          <w:sz w:val="32"/>
          <w:szCs w:val="32"/>
        </w:rPr>
      </w:pPr>
      <w:r>
        <w:rPr>
          <w:rFonts w:eastAsia="仿宋_GB2312"/>
          <w:sz w:val="32"/>
          <w:szCs w:val="32"/>
        </w:rPr>
        <w:t>6、配置依据，是指拟新建房屋及构筑物或对房屋及构筑物予以资本性维修、装修、改扩建、大型修缮的文件依据和相关证明材料。</w:t>
      </w:r>
    </w:p>
    <w:p>
      <w:pPr>
        <w:spacing w:line="560" w:lineRule="exact"/>
        <w:ind w:firstLine="640" w:firstLineChars="200"/>
        <w:rPr>
          <w:rFonts w:eastAsia="仿宋_GB2312"/>
          <w:sz w:val="32"/>
          <w:szCs w:val="32"/>
        </w:rPr>
      </w:pPr>
      <w:r>
        <w:rPr>
          <w:rFonts w:eastAsia="仿宋_GB2312"/>
          <w:sz w:val="32"/>
          <w:szCs w:val="32"/>
        </w:rPr>
        <w:t>7、资产存量情况，是指本单位拟新增房屋类资产的现有存量，统计时间截止到2019年6月30日。单位应认真核实，参照湖南省行政事业资产动态管理信息系统相关资产卡片数据填列，并尽量做到与财务核算一致。</w:t>
      </w:r>
    </w:p>
    <w:p>
      <w:pPr>
        <w:spacing w:line="560" w:lineRule="exact"/>
        <w:ind w:firstLine="640" w:firstLineChars="200"/>
        <w:rPr>
          <w:rFonts w:eastAsia="黑体"/>
          <w:sz w:val="32"/>
          <w:szCs w:val="32"/>
        </w:rPr>
      </w:pPr>
      <w:r>
        <w:rPr>
          <w:rFonts w:eastAsia="黑体"/>
          <w:sz w:val="32"/>
          <w:szCs w:val="32"/>
        </w:rPr>
        <w:t>二、关于土地</w:t>
      </w:r>
    </w:p>
    <w:p>
      <w:pPr>
        <w:spacing w:line="560" w:lineRule="exact"/>
        <w:ind w:firstLine="640" w:firstLineChars="200"/>
        <w:rPr>
          <w:rFonts w:eastAsia="仿宋_GB2312"/>
          <w:sz w:val="32"/>
          <w:szCs w:val="32"/>
        </w:rPr>
      </w:pPr>
      <w:r>
        <w:rPr>
          <w:rFonts w:eastAsia="仿宋_GB2312"/>
          <w:sz w:val="32"/>
          <w:szCs w:val="32"/>
        </w:rPr>
        <w:t>1、新增土地资产名称是指单位拟新增土地使用权的项目名称，根据土地性质在系统下拉菜单选择并分项填列。</w:t>
      </w:r>
    </w:p>
    <w:p>
      <w:pPr>
        <w:spacing w:line="560" w:lineRule="exact"/>
        <w:ind w:firstLine="640" w:firstLineChars="200"/>
        <w:rPr>
          <w:rFonts w:eastAsia="仿宋_GB2312"/>
          <w:sz w:val="32"/>
          <w:szCs w:val="32"/>
        </w:rPr>
      </w:pPr>
      <w:r>
        <w:rPr>
          <w:rFonts w:eastAsia="仿宋_GB2312"/>
          <w:sz w:val="32"/>
          <w:szCs w:val="32"/>
        </w:rPr>
        <w:t>2、新增数量，是指拟新增资产的数量，土地面积统一按平方米计量。</w:t>
      </w:r>
    </w:p>
    <w:p>
      <w:pPr>
        <w:spacing w:line="560" w:lineRule="exact"/>
        <w:ind w:firstLine="640" w:firstLineChars="200"/>
        <w:rPr>
          <w:rFonts w:eastAsia="仿宋_GB2312"/>
          <w:sz w:val="32"/>
          <w:szCs w:val="32"/>
        </w:rPr>
      </w:pPr>
      <w:r>
        <w:rPr>
          <w:rFonts w:eastAsia="仿宋_GB2312"/>
          <w:sz w:val="32"/>
          <w:szCs w:val="32"/>
        </w:rPr>
        <w:t>3、配置依据指相关部门的审批文件和相关证明材料。</w:t>
      </w:r>
    </w:p>
    <w:p>
      <w:pPr>
        <w:spacing w:line="560" w:lineRule="exact"/>
        <w:ind w:firstLine="640" w:firstLineChars="200"/>
        <w:rPr>
          <w:rFonts w:eastAsia="仿宋_GB2312"/>
          <w:sz w:val="32"/>
          <w:szCs w:val="32"/>
        </w:rPr>
      </w:pPr>
      <w:r>
        <w:rPr>
          <w:rFonts w:eastAsia="仿宋_GB2312"/>
          <w:sz w:val="32"/>
          <w:szCs w:val="32"/>
        </w:rPr>
        <w:t>4、申报资金，是指拟新增资产所需资金。</w:t>
      </w:r>
    </w:p>
    <w:p>
      <w:pPr>
        <w:spacing w:line="560" w:lineRule="exact"/>
        <w:ind w:firstLine="640" w:firstLineChars="200"/>
        <w:rPr>
          <w:rFonts w:eastAsia="仿宋_GB2312"/>
          <w:sz w:val="32"/>
          <w:szCs w:val="32"/>
        </w:rPr>
      </w:pPr>
      <w:r>
        <w:rPr>
          <w:rFonts w:eastAsia="仿宋_GB2312"/>
          <w:sz w:val="32"/>
          <w:szCs w:val="32"/>
        </w:rPr>
        <w:t>5、资产存量情况，是指本单位拟新增房屋类资产的现有存量，统计时间截止到2019年6月30日。单位应认真核实，参照湖南省行政事业资产动态管理信息系统相关资产卡片数据填列，并尽量做到与财务核算一致。</w:t>
      </w:r>
    </w:p>
    <w:p>
      <w:pPr>
        <w:spacing w:line="560" w:lineRule="exact"/>
        <w:ind w:firstLine="640" w:firstLineChars="200"/>
        <w:rPr>
          <w:rFonts w:eastAsia="黑体"/>
          <w:sz w:val="32"/>
          <w:szCs w:val="32"/>
        </w:rPr>
      </w:pPr>
      <w:r>
        <w:rPr>
          <w:rFonts w:eastAsia="黑体"/>
          <w:sz w:val="32"/>
          <w:szCs w:val="32"/>
        </w:rPr>
        <w:t>三、关于车辆</w:t>
      </w:r>
    </w:p>
    <w:p>
      <w:pPr>
        <w:spacing w:line="560" w:lineRule="exact"/>
        <w:ind w:firstLine="640" w:firstLineChars="200"/>
        <w:rPr>
          <w:rFonts w:eastAsia="仿宋_GB2312"/>
          <w:sz w:val="32"/>
          <w:szCs w:val="32"/>
        </w:rPr>
      </w:pPr>
      <w:r>
        <w:rPr>
          <w:rFonts w:eastAsia="仿宋_GB2312"/>
          <w:sz w:val="32"/>
          <w:szCs w:val="32"/>
        </w:rPr>
        <w:t>1、新增配置车辆是指按中央有关规定保留必要的执法执勤、机要通信、应急和特种专业技术用车及按规定配备的其他车辆。</w:t>
      </w:r>
    </w:p>
    <w:p>
      <w:pPr>
        <w:spacing w:line="560" w:lineRule="exact"/>
        <w:ind w:firstLine="640" w:firstLineChars="200"/>
        <w:rPr>
          <w:rFonts w:eastAsia="仿宋_GB2312"/>
          <w:sz w:val="32"/>
          <w:szCs w:val="32"/>
        </w:rPr>
      </w:pPr>
      <w:r>
        <w:rPr>
          <w:rFonts w:eastAsia="仿宋_GB2312"/>
          <w:sz w:val="32"/>
          <w:szCs w:val="32"/>
        </w:rPr>
        <w:t>2、车辆的配置依据是指车辆配置有关文件规定、本单位公务用车空余编制数等相关证明材料。</w:t>
      </w:r>
    </w:p>
    <w:p>
      <w:pPr>
        <w:spacing w:line="560" w:lineRule="exact"/>
        <w:ind w:firstLine="640" w:firstLineChars="200"/>
        <w:rPr>
          <w:rFonts w:eastAsia="仿宋_GB2312"/>
          <w:sz w:val="32"/>
          <w:szCs w:val="32"/>
        </w:rPr>
      </w:pPr>
      <w:r>
        <w:rPr>
          <w:rFonts w:eastAsia="仿宋_GB2312"/>
          <w:sz w:val="32"/>
          <w:szCs w:val="32"/>
        </w:rPr>
        <w:t>3、新增数量，是指拟新增资产的数量，车辆数量按台计量。</w:t>
      </w:r>
    </w:p>
    <w:p>
      <w:pPr>
        <w:spacing w:line="560" w:lineRule="exact"/>
        <w:ind w:firstLine="640" w:firstLineChars="200"/>
        <w:rPr>
          <w:rFonts w:eastAsia="仿宋_GB2312"/>
          <w:sz w:val="32"/>
          <w:szCs w:val="32"/>
        </w:rPr>
      </w:pPr>
      <w:r>
        <w:rPr>
          <w:rFonts w:eastAsia="仿宋_GB2312"/>
          <w:sz w:val="32"/>
          <w:szCs w:val="32"/>
        </w:rPr>
        <w:t>4、申报资金，是指拟新增资产所需资金。</w:t>
      </w:r>
    </w:p>
    <w:p>
      <w:pPr>
        <w:spacing w:line="560" w:lineRule="exact"/>
        <w:ind w:firstLine="640" w:firstLineChars="200"/>
        <w:rPr>
          <w:rFonts w:eastAsia="仿宋_GB2312"/>
          <w:sz w:val="32"/>
          <w:szCs w:val="32"/>
        </w:rPr>
      </w:pPr>
      <w:r>
        <w:rPr>
          <w:rFonts w:eastAsia="仿宋_GB2312"/>
          <w:sz w:val="32"/>
          <w:szCs w:val="32"/>
        </w:rPr>
        <w:t>5、资产存量情况，是指本单位拟新增车辆类资产的现有存量，统计时间截止到2019年6月30日。单位应认真核实，参照湖南省行政事业资产动态管理信息系统相关资产卡片数据填列，并尽量做到与财务核算一致。</w:t>
      </w:r>
    </w:p>
    <w:p>
      <w:pPr>
        <w:spacing w:line="560" w:lineRule="exact"/>
        <w:ind w:firstLine="640" w:firstLineChars="200"/>
        <w:rPr>
          <w:rFonts w:eastAsia="黑体"/>
          <w:sz w:val="32"/>
          <w:szCs w:val="32"/>
        </w:rPr>
      </w:pPr>
      <w:r>
        <w:rPr>
          <w:rFonts w:eastAsia="黑体"/>
          <w:sz w:val="32"/>
          <w:szCs w:val="32"/>
        </w:rPr>
        <w:t>四、关于办公设备</w:t>
      </w:r>
    </w:p>
    <w:p>
      <w:pPr>
        <w:spacing w:line="560" w:lineRule="exact"/>
        <w:ind w:firstLine="640" w:firstLineChars="200"/>
        <w:rPr>
          <w:rFonts w:eastAsia="仿宋_GB2312"/>
          <w:sz w:val="32"/>
          <w:szCs w:val="32"/>
        </w:rPr>
      </w:pPr>
      <w:r>
        <w:rPr>
          <w:rFonts w:eastAsia="仿宋_GB2312"/>
          <w:sz w:val="32"/>
          <w:szCs w:val="32"/>
        </w:rPr>
        <w:t>1、办公设备分为通用设备和办公家具两类，具体名称在系统下拉菜单选择填列。</w:t>
      </w:r>
    </w:p>
    <w:p>
      <w:pPr>
        <w:spacing w:line="560" w:lineRule="exact"/>
        <w:ind w:firstLine="640" w:firstLineChars="200"/>
        <w:rPr>
          <w:rFonts w:eastAsia="仿宋_GB2312"/>
          <w:sz w:val="32"/>
          <w:szCs w:val="32"/>
        </w:rPr>
      </w:pPr>
      <w:r>
        <w:rPr>
          <w:rFonts w:eastAsia="仿宋_GB2312"/>
          <w:sz w:val="32"/>
          <w:szCs w:val="32"/>
        </w:rPr>
        <w:t>2、新增数量，是指拟新增资产数量，数量按台、套等计量。</w:t>
      </w:r>
    </w:p>
    <w:p>
      <w:pPr>
        <w:spacing w:line="560" w:lineRule="exact"/>
        <w:ind w:firstLine="640" w:firstLineChars="200"/>
        <w:rPr>
          <w:rFonts w:eastAsia="仿宋_GB2312"/>
          <w:sz w:val="32"/>
          <w:szCs w:val="32"/>
        </w:rPr>
      </w:pPr>
      <w:r>
        <w:rPr>
          <w:rFonts w:eastAsia="仿宋_GB2312"/>
          <w:sz w:val="32"/>
          <w:szCs w:val="32"/>
        </w:rPr>
        <w:t>3、申报资金，是指拟新增资产所需资金，办公设备具体标准应参照国有资产配置预算及实物限额标准相关规定。</w:t>
      </w:r>
    </w:p>
    <w:p>
      <w:pPr>
        <w:spacing w:line="560" w:lineRule="exact"/>
        <w:ind w:firstLine="640" w:firstLineChars="200"/>
        <w:rPr>
          <w:rFonts w:eastAsia="仿宋_GB2312"/>
          <w:sz w:val="32"/>
          <w:szCs w:val="32"/>
        </w:rPr>
      </w:pPr>
      <w:r>
        <w:rPr>
          <w:rFonts w:eastAsia="仿宋_GB2312"/>
          <w:sz w:val="32"/>
          <w:szCs w:val="32"/>
        </w:rPr>
        <w:t>4、配置依据指符合《湖南省省直行政事业单位国有资产配置管理办法》第六条规定的有关条件等相关证明材料。</w:t>
      </w:r>
    </w:p>
    <w:p>
      <w:pPr>
        <w:spacing w:line="560" w:lineRule="exact"/>
        <w:ind w:firstLine="640" w:firstLineChars="200"/>
        <w:rPr>
          <w:rFonts w:eastAsia="仿宋_GB2312"/>
          <w:sz w:val="32"/>
          <w:szCs w:val="32"/>
        </w:rPr>
      </w:pPr>
      <w:r>
        <w:rPr>
          <w:rFonts w:eastAsia="仿宋_GB2312"/>
          <w:sz w:val="32"/>
          <w:szCs w:val="32"/>
        </w:rPr>
        <w:t>5、资产存量情况是指本单位拟新增资产对应的同类资产的现有存量，统计时间截止到2019年6月30日，应参照湖南省行政事业资产动态管理信息系统相关资产卡片数据填列。</w:t>
      </w:r>
    </w:p>
    <w:p>
      <w:pPr>
        <w:spacing w:line="560" w:lineRule="exact"/>
        <w:ind w:firstLine="640" w:firstLineChars="200"/>
        <w:rPr>
          <w:rFonts w:eastAsia="黑体"/>
          <w:sz w:val="32"/>
          <w:szCs w:val="32"/>
        </w:rPr>
      </w:pPr>
      <w:r>
        <w:rPr>
          <w:rFonts w:eastAsia="黑体"/>
          <w:sz w:val="32"/>
          <w:szCs w:val="32"/>
        </w:rPr>
        <w:t>五、关于单项价值限额以上的其他资产</w:t>
      </w:r>
    </w:p>
    <w:p>
      <w:pPr>
        <w:spacing w:line="560" w:lineRule="exact"/>
        <w:ind w:firstLine="640" w:firstLineChars="200"/>
        <w:rPr>
          <w:rFonts w:eastAsia="仿宋_GB2312"/>
          <w:sz w:val="32"/>
          <w:szCs w:val="32"/>
        </w:rPr>
      </w:pPr>
      <w:r>
        <w:rPr>
          <w:rFonts w:eastAsia="仿宋_GB2312"/>
          <w:sz w:val="32"/>
          <w:szCs w:val="32"/>
        </w:rPr>
        <w:t>1、本表所列单项价值限额以上的其他资产是指除房屋及构筑物、土地、车辆、办公设备以外的单项价值在规定金额（党政机关为20万元，非参公事业单位为50万元，含本数）以上的其他固定资产和无形资产；</w:t>
      </w:r>
    </w:p>
    <w:p>
      <w:pPr>
        <w:spacing w:line="560" w:lineRule="exact"/>
        <w:ind w:firstLine="640" w:firstLineChars="200"/>
        <w:rPr>
          <w:rFonts w:eastAsia="仿宋_GB2312"/>
          <w:sz w:val="32"/>
          <w:szCs w:val="32"/>
        </w:rPr>
      </w:pPr>
      <w:r>
        <w:rPr>
          <w:rFonts w:eastAsia="仿宋_GB2312"/>
          <w:sz w:val="32"/>
          <w:szCs w:val="32"/>
        </w:rPr>
        <w:t>2、新增数量，是指拟新增资产的数量，数量按台、套等计量。</w:t>
      </w:r>
    </w:p>
    <w:p>
      <w:pPr>
        <w:spacing w:line="560" w:lineRule="exact"/>
        <w:ind w:firstLine="640" w:firstLineChars="200"/>
        <w:rPr>
          <w:rFonts w:eastAsia="仿宋_GB2312"/>
          <w:sz w:val="32"/>
          <w:szCs w:val="32"/>
        </w:rPr>
      </w:pPr>
      <w:r>
        <w:rPr>
          <w:rFonts w:eastAsia="仿宋_GB2312"/>
          <w:sz w:val="32"/>
          <w:szCs w:val="32"/>
        </w:rPr>
        <w:t>3、申报资金，是指拟新增资产所需资金。</w:t>
      </w:r>
    </w:p>
    <w:p>
      <w:pPr>
        <w:spacing w:line="560" w:lineRule="exact"/>
        <w:ind w:firstLine="640" w:firstLineChars="200"/>
        <w:rPr>
          <w:rFonts w:eastAsia="仿宋_GB2312"/>
          <w:sz w:val="32"/>
          <w:szCs w:val="32"/>
        </w:rPr>
      </w:pPr>
      <w:r>
        <w:rPr>
          <w:rFonts w:eastAsia="仿宋_GB2312"/>
          <w:sz w:val="32"/>
          <w:szCs w:val="32"/>
        </w:rPr>
        <w:t>4、配置依据指符合《湖南省省直行政事业单位国有资产配置管理办法》第六条规定的有关条件等相关证明材料。</w:t>
      </w:r>
    </w:p>
    <w:p>
      <w:pPr>
        <w:spacing w:line="560" w:lineRule="exact"/>
        <w:ind w:firstLine="640" w:firstLineChars="200"/>
        <w:rPr>
          <w:rFonts w:eastAsia="仿宋_GB2312"/>
          <w:sz w:val="32"/>
          <w:szCs w:val="32"/>
        </w:rPr>
      </w:pPr>
      <w:r>
        <w:rPr>
          <w:rFonts w:eastAsia="仿宋_GB2312"/>
          <w:sz w:val="32"/>
          <w:szCs w:val="32"/>
        </w:rPr>
        <w:t>5、资产存量情况，参照湖南省行政事业资产动态管理信息系统截止到2019年6月30日相关资产卡片数据填列。</w:t>
      </w:r>
    </w:p>
    <w:p>
      <w:pPr>
        <w:spacing w:line="560" w:lineRule="exact"/>
        <w:ind w:firstLine="640" w:firstLineChars="200"/>
        <w:rPr>
          <w:rFonts w:eastAsia="黑体"/>
          <w:sz w:val="32"/>
          <w:szCs w:val="32"/>
        </w:rPr>
      </w:pPr>
      <w:r>
        <w:rPr>
          <w:rFonts w:eastAsia="黑体"/>
          <w:sz w:val="32"/>
          <w:szCs w:val="32"/>
        </w:rPr>
        <w:t>六、关于单项价值限额以下的其他资产</w:t>
      </w:r>
    </w:p>
    <w:p>
      <w:pPr>
        <w:spacing w:line="560" w:lineRule="exact"/>
        <w:ind w:firstLine="640" w:firstLineChars="200"/>
        <w:rPr>
          <w:rFonts w:eastAsia="仿宋_GB2312"/>
          <w:sz w:val="32"/>
          <w:szCs w:val="32"/>
        </w:rPr>
      </w:pPr>
      <w:r>
        <w:rPr>
          <w:rFonts w:eastAsia="仿宋_GB2312"/>
          <w:sz w:val="32"/>
          <w:szCs w:val="32"/>
        </w:rPr>
        <w:t>参照第五条填列。</w:t>
      </w:r>
    </w:p>
    <w:p>
      <w:pPr>
        <w:spacing w:line="560" w:lineRule="exact"/>
        <w:ind w:firstLine="640" w:firstLineChars="200"/>
        <w:rPr>
          <w:rFonts w:eastAsia="黑体"/>
          <w:sz w:val="32"/>
          <w:szCs w:val="32"/>
        </w:rPr>
        <w:sectPr>
          <w:pgSz w:w="11905" w:h="16837"/>
          <w:pgMar w:top="1418" w:right="1588" w:bottom="1418" w:left="1588" w:header="624" w:footer="1021" w:gutter="0"/>
          <w:pgNumType w:fmt="numberInDash"/>
          <w:cols w:space="720" w:num="1"/>
          <w:docGrid w:linePitch="636" w:charSpace="20838"/>
        </w:sectPr>
      </w:pPr>
      <w:r>
        <w:rPr>
          <w:rFonts w:eastAsia="黑体"/>
          <w:sz w:val="32"/>
          <w:szCs w:val="32"/>
        </w:rPr>
        <w:t>七、如有其他需说明事项，请在备注栏填列。</w:t>
      </w: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AB1542"/>
    <w:rsid w:val="41880F9A"/>
    <w:rsid w:val="60DE3B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2019-09-10T02:08:00Z</dcterms:created>
  <dc:creator>Administrator</dc:creator>
  <cp:lastModifiedBy>海波</cp:lastModifiedBy>
  <cp:lastPrinted>2019-09-29T02:13:35Z</cp:lastPrinted>
  <dcterms:modified xsi:type="dcterms:W3CDTF">2019-09-29T02:13:39Z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