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bookmarkStart w:id="0" w:name="_GoBack"/>
      <w:bookmarkEnd w:id="0"/>
    </w:p>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2021年度湖南省社会科学成果评审委员会重大、重点课题参考选题</w:t>
      </w:r>
    </w:p>
    <w:p>
      <w:pPr>
        <w:spacing w:line="560" w:lineRule="exact"/>
        <w:rPr>
          <w:rFonts w:ascii="仿宋_GB2312" w:eastAsia="仿宋_GB2312"/>
          <w:sz w:val="32"/>
          <w:szCs w:val="32"/>
        </w:rPr>
      </w:pPr>
    </w:p>
    <w:p>
      <w:pPr>
        <w:spacing w:line="560" w:lineRule="exact"/>
        <w:ind w:left="640" w:hanging="640" w:hangingChars="200"/>
        <w:rPr>
          <w:rFonts w:hint="eastAsia" w:ascii="仿宋_GB2312" w:eastAsia="仿宋_GB2312"/>
          <w:sz w:val="32"/>
          <w:szCs w:val="32"/>
        </w:rPr>
      </w:pPr>
      <w:r>
        <w:rPr>
          <w:rFonts w:hint="eastAsia" w:ascii="仿宋_GB2312" w:eastAsia="仿宋_GB2312"/>
          <w:sz w:val="32"/>
          <w:szCs w:val="32"/>
        </w:rPr>
        <w:t>1、“一带一部”定位下湖南加快中部崛起的发展战略研究</w:t>
      </w:r>
    </w:p>
    <w:p>
      <w:pPr>
        <w:spacing w:line="560" w:lineRule="exact"/>
        <w:rPr>
          <w:rFonts w:hint="eastAsia" w:ascii="仿宋_GB2312" w:eastAsia="仿宋_GB2312"/>
          <w:sz w:val="32"/>
          <w:szCs w:val="32"/>
        </w:rPr>
      </w:pPr>
      <w:r>
        <w:rPr>
          <w:rFonts w:hint="eastAsia" w:ascii="仿宋_GB2312" w:eastAsia="仿宋_GB2312"/>
          <w:sz w:val="32"/>
          <w:szCs w:val="32"/>
        </w:rPr>
        <w:t>2、湖南创建长江经济带绿色发展示范区研究</w:t>
      </w:r>
    </w:p>
    <w:p>
      <w:pPr>
        <w:spacing w:line="560" w:lineRule="exact"/>
        <w:rPr>
          <w:rFonts w:hint="eastAsia" w:ascii="仿宋_GB2312" w:eastAsia="仿宋_GB2312"/>
          <w:sz w:val="32"/>
          <w:szCs w:val="32"/>
        </w:rPr>
      </w:pPr>
      <w:r>
        <w:rPr>
          <w:rFonts w:hint="eastAsia" w:ascii="仿宋_GB2312" w:eastAsia="仿宋_GB2312"/>
          <w:sz w:val="32"/>
          <w:szCs w:val="32"/>
        </w:rPr>
        <w:t>3、创建长株潭国家中心城市研究</w:t>
      </w:r>
    </w:p>
    <w:p>
      <w:pPr>
        <w:spacing w:line="560" w:lineRule="exact"/>
        <w:rPr>
          <w:rFonts w:hint="eastAsia" w:ascii="仿宋_GB2312" w:eastAsia="仿宋_GB2312"/>
          <w:sz w:val="32"/>
          <w:szCs w:val="32"/>
        </w:rPr>
      </w:pPr>
      <w:r>
        <w:rPr>
          <w:rFonts w:hint="eastAsia" w:ascii="仿宋_GB2312" w:eastAsia="仿宋_GB2312"/>
          <w:sz w:val="32"/>
          <w:szCs w:val="32"/>
        </w:rPr>
        <w:t>4、长株潭创建国家装备制造业创新中心的思路与对策研究</w:t>
      </w:r>
    </w:p>
    <w:p>
      <w:pPr>
        <w:spacing w:line="560" w:lineRule="exact"/>
        <w:rPr>
          <w:rFonts w:hint="eastAsia" w:ascii="仿宋_GB2312" w:eastAsia="仿宋_GB2312"/>
          <w:sz w:val="32"/>
          <w:szCs w:val="32"/>
        </w:rPr>
      </w:pPr>
      <w:r>
        <w:rPr>
          <w:rFonts w:hint="eastAsia" w:ascii="仿宋_GB2312" w:eastAsia="仿宋_GB2312"/>
          <w:sz w:val="32"/>
          <w:szCs w:val="32"/>
        </w:rPr>
        <w:t>5、长株潭城市演进发展研究</w:t>
      </w:r>
    </w:p>
    <w:p>
      <w:pPr>
        <w:spacing w:line="560" w:lineRule="exact"/>
        <w:rPr>
          <w:rFonts w:hint="eastAsia" w:ascii="仿宋_GB2312" w:eastAsia="仿宋_GB2312"/>
          <w:sz w:val="32"/>
          <w:szCs w:val="32"/>
        </w:rPr>
      </w:pPr>
      <w:r>
        <w:rPr>
          <w:rFonts w:hint="eastAsia" w:ascii="仿宋_GB2312" w:eastAsia="仿宋_GB2312"/>
          <w:sz w:val="32"/>
          <w:szCs w:val="32"/>
        </w:rPr>
        <w:t>6、加强民法典在实施过程中的相关问题及对策研究</w:t>
      </w:r>
    </w:p>
    <w:p>
      <w:pPr>
        <w:spacing w:line="560" w:lineRule="exact"/>
        <w:ind w:left="419" w:hanging="419" w:hangingChars="131"/>
        <w:rPr>
          <w:rFonts w:hint="eastAsia" w:ascii="仿宋_GB2312" w:hAnsi="仿宋" w:eastAsia="仿宋_GB2312"/>
          <w:sz w:val="32"/>
          <w:szCs w:val="32"/>
        </w:rPr>
      </w:pPr>
      <w:r>
        <w:rPr>
          <w:rFonts w:hint="eastAsia" w:ascii="仿宋_GB2312" w:eastAsia="仿宋_GB2312"/>
          <w:sz w:val="32"/>
          <w:szCs w:val="32"/>
        </w:rPr>
        <w:t>7、湖</w:t>
      </w:r>
      <w:r>
        <w:rPr>
          <w:rFonts w:hint="eastAsia" w:ascii="仿宋_GB2312" w:eastAsia="仿宋_GB2312"/>
          <w:spacing w:val="-11"/>
          <w:sz w:val="32"/>
          <w:szCs w:val="32"/>
        </w:rPr>
        <w:t>南疫情防控的成效、经验对完善应急响应机制的启示研究</w:t>
      </w:r>
    </w:p>
    <w:p>
      <w:pPr>
        <w:spacing w:line="560" w:lineRule="exact"/>
        <w:rPr>
          <w:rFonts w:hint="eastAsia" w:ascii="仿宋_GB2312" w:eastAsia="仿宋_GB2312"/>
          <w:sz w:val="32"/>
          <w:szCs w:val="32"/>
        </w:rPr>
      </w:pPr>
      <w:r>
        <w:rPr>
          <w:rFonts w:hint="eastAsia" w:ascii="仿宋_GB2312" w:eastAsia="仿宋_GB2312"/>
          <w:sz w:val="32"/>
          <w:szCs w:val="32"/>
        </w:rPr>
        <w:t>8、防范化解疫情反弹风险及其次生风险的对策研究</w:t>
      </w:r>
    </w:p>
    <w:p>
      <w:pPr>
        <w:spacing w:line="560" w:lineRule="exact"/>
        <w:rPr>
          <w:rFonts w:hint="eastAsia" w:ascii="仿宋_GB2312" w:eastAsia="仿宋_GB2312"/>
          <w:sz w:val="32"/>
          <w:szCs w:val="32"/>
        </w:rPr>
      </w:pPr>
      <w:r>
        <w:rPr>
          <w:rFonts w:hint="eastAsia" w:ascii="仿宋_GB2312" w:eastAsia="仿宋_GB2312"/>
          <w:sz w:val="32"/>
          <w:szCs w:val="32"/>
        </w:rPr>
        <w:t>9、新冠肺炎疫情对湖南经济的影响及对策研究</w:t>
      </w:r>
    </w:p>
    <w:p>
      <w:pPr>
        <w:spacing w:line="560" w:lineRule="exact"/>
        <w:rPr>
          <w:rFonts w:hint="eastAsia" w:ascii="仿宋_GB2312" w:eastAsia="仿宋_GB2312"/>
          <w:sz w:val="32"/>
          <w:szCs w:val="32"/>
        </w:rPr>
      </w:pPr>
      <w:r>
        <w:rPr>
          <w:rFonts w:hint="eastAsia" w:ascii="仿宋_GB2312" w:eastAsia="仿宋_GB2312"/>
          <w:sz w:val="32"/>
          <w:szCs w:val="32"/>
        </w:rPr>
        <w:t>10、重大疫情背景下应急物资供应体系研究</w:t>
      </w:r>
    </w:p>
    <w:p>
      <w:pPr>
        <w:spacing w:line="560" w:lineRule="exact"/>
        <w:rPr>
          <w:rFonts w:hint="eastAsia" w:ascii="仿宋_GB2312" w:eastAsia="仿宋_GB2312"/>
          <w:spacing w:val="-6"/>
          <w:sz w:val="32"/>
          <w:szCs w:val="32"/>
        </w:rPr>
      </w:pPr>
      <w:r>
        <w:rPr>
          <w:rFonts w:hint="eastAsia" w:ascii="仿宋_GB2312" w:eastAsia="仿宋_GB2312"/>
          <w:sz w:val="32"/>
          <w:szCs w:val="32"/>
        </w:rPr>
        <w:t>11、疫情</w:t>
      </w:r>
      <w:r>
        <w:rPr>
          <w:rFonts w:hint="eastAsia" w:ascii="仿宋_GB2312" w:eastAsia="仿宋_GB2312"/>
          <w:spacing w:val="-6"/>
          <w:sz w:val="32"/>
          <w:szCs w:val="32"/>
        </w:rPr>
        <w:t>防控常态化下学校线上教育面临的问题与对策研究</w:t>
      </w:r>
    </w:p>
    <w:p>
      <w:pPr>
        <w:spacing w:line="560" w:lineRule="exact"/>
        <w:rPr>
          <w:rFonts w:hint="eastAsia" w:ascii="仿宋_GB2312" w:eastAsia="仿宋_GB2312"/>
          <w:sz w:val="32"/>
          <w:szCs w:val="32"/>
        </w:rPr>
      </w:pPr>
      <w:r>
        <w:rPr>
          <w:rFonts w:hint="eastAsia" w:ascii="仿宋_GB2312" w:eastAsia="仿宋_GB2312"/>
          <w:sz w:val="32"/>
          <w:szCs w:val="32"/>
        </w:rPr>
        <w:t>12、湖南省中医药守正创新与传承发展研究</w:t>
      </w:r>
    </w:p>
    <w:p>
      <w:pPr>
        <w:spacing w:line="560" w:lineRule="exact"/>
        <w:rPr>
          <w:rFonts w:hint="eastAsia" w:ascii="仿宋_GB2312" w:eastAsia="仿宋_GB2312"/>
          <w:sz w:val="32"/>
          <w:szCs w:val="32"/>
        </w:rPr>
      </w:pPr>
      <w:r>
        <w:rPr>
          <w:rFonts w:hint="eastAsia" w:ascii="仿宋_GB2312" w:eastAsia="仿宋_GB2312"/>
          <w:sz w:val="32"/>
          <w:szCs w:val="32"/>
        </w:rPr>
        <w:t>13、加快补齐湖南公共卫生服务短板对策研究</w:t>
      </w:r>
    </w:p>
    <w:p>
      <w:pPr>
        <w:spacing w:line="560" w:lineRule="exact"/>
        <w:ind w:left="637" w:hanging="636" w:hangingChars="199"/>
        <w:rPr>
          <w:rFonts w:hint="eastAsia" w:ascii="仿宋_GB2312" w:eastAsia="仿宋_GB2312"/>
          <w:sz w:val="32"/>
          <w:szCs w:val="32"/>
        </w:rPr>
      </w:pPr>
      <w:r>
        <w:rPr>
          <w:rFonts w:hint="eastAsia" w:ascii="仿宋_GB2312" w:eastAsia="仿宋_GB2312"/>
          <w:sz w:val="32"/>
          <w:szCs w:val="32"/>
        </w:rPr>
        <w:t>14、重大突发公共卫生事件下的公民道德建设与公共卫生伦理建设问题研究</w:t>
      </w:r>
    </w:p>
    <w:p>
      <w:pPr>
        <w:spacing w:line="560" w:lineRule="exact"/>
        <w:rPr>
          <w:rFonts w:hint="eastAsia" w:ascii="仿宋_GB2312" w:hAnsi="仿宋" w:eastAsia="仿宋_GB2312"/>
          <w:sz w:val="32"/>
          <w:szCs w:val="32"/>
        </w:rPr>
      </w:pPr>
      <w:r>
        <w:rPr>
          <w:rFonts w:hint="eastAsia" w:ascii="仿宋_GB2312" w:eastAsia="仿宋_GB2312"/>
          <w:sz w:val="32"/>
          <w:szCs w:val="32"/>
        </w:rPr>
        <w:t>15、城市公共安全防御单元研究</w:t>
      </w:r>
    </w:p>
    <w:p>
      <w:pPr>
        <w:spacing w:line="560" w:lineRule="exact"/>
        <w:ind w:left="637" w:hanging="636" w:hangingChars="199"/>
        <w:rPr>
          <w:rFonts w:hint="eastAsia" w:ascii="仿宋_GB2312" w:eastAsia="仿宋_GB2312"/>
          <w:sz w:val="32"/>
          <w:szCs w:val="32"/>
        </w:rPr>
      </w:pPr>
      <w:r>
        <w:rPr>
          <w:rFonts w:hint="eastAsia" w:ascii="仿宋_GB2312" w:eastAsia="仿宋_GB2312"/>
          <w:sz w:val="32"/>
          <w:szCs w:val="32"/>
        </w:rPr>
        <w:t>16、重大公共危机中劳动关系协调机制研究</w:t>
      </w:r>
    </w:p>
    <w:p>
      <w:pPr>
        <w:spacing w:line="560" w:lineRule="exact"/>
        <w:rPr>
          <w:rFonts w:hint="eastAsia" w:ascii="仿宋_GB2312" w:eastAsia="仿宋_GB2312"/>
          <w:sz w:val="32"/>
          <w:szCs w:val="32"/>
        </w:rPr>
      </w:pPr>
      <w:r>
        <w:rPr>
          <w:rFonts w:hint="eastAsia" w:ascii="仿宋_GB2312" w:eastAsia="仿宋_GB2312"/>
          <w:sz w:val="32"/>
          <w:szCs w:val="32"/>
        </w:rPr>
        <w:t>17、农村重大突发事件矛盾防范与化解对策研究</w:t>
      </w:r>
    </w:p>
    <w:p>
      <w:pPr>
        <w:spacing w:line="560" w:lineRule="exact"/>
        <w:ind w:left="640" w:hanging="640" w:hangingChars="200"/>
        <w:rPr>
          <w:rFonts w:hint="eastAsia" w:ascii="仿宋_GB2312" w:eastAsia="仿宋_GB2312"/>
          <w:sz w:val="32"/>
          <w:szCs w:val="32"/>
        </w:rPr>
      </w:pPr>
      <w:r>
        <w:rPr>
          <w:rFonts w:hint="eastAsia" w:ascii="仿宋_GB2312" w:eastAsia="仿宋_GB2312"/>
          <w:sz w:val="32"/>
          <w:szCs w:val="32"/>
        </w:rPr>
        <w:t>18、当前我省乡村振兴的重点任务与对策研究</w:t>
      </w:r>
    </w:p>
    <w:p>
      <w:pPr>
        <w:spacing w:line="560" w:lineRule="exact"/>
        <w:ind w:left="640" w:hanging="640" w:hangingChars="200"/>
        <w:rPr>
          <w:rFonts w:hint="eastAsia" w:ascii="仿宋_GB2312" w:eastAsia="仿宋_GB2312"/>
          <w:sz w:val="32"/>
          <w:szCs w:val="32"/>
        </w:rPr>
      </w:pPr>
      <w:r>
        <w:rPr>
          <w:rFonts w:hint="eastAsia" w:ascii="仿宋_GB2312" w:eastAsia="仿宋_GB2312"/>
          <w:sz w:val="32"/>
          <w:szCs w:val="32"/>
        </w:rPr>
        <w:t>19、乡村振兴战略下乡村文化建设研究</w:t>
      </w:r>
    </w:p>
    <w:p>
      <w:pPr>
        <w:spacing w:line="560" w:lineRule="exact"/>
        <w:rPr>
          <w:rFonts w:hint="eastAsia" w:ascii="仿宋_GB2312" w:eastAsia="仿宋_GB2312"/>
          <w:sz w:val="32"/>
          <w:szCs w:val="32"/>
        </w:rPr>
      </w:pPr>
      <w:r>
        <w:rPr>
          <w:rFonts w:hint="eastAsia" w:ascii="仿宋_GB2312" w:eastAsia="仿宋_GB2312"/>
          <w:sz w:val="32"/>
          <w:szCs w:val="32"/>
        </w:rPr>
        <w:t>20、巩固我省“革命老区”脱贫攻坚成果实现乡村振兴研究</w:t>
      </w:r>
    </w:p>
    <w:p>
      <w:pPr>
        <w:spacing w:line="560" w:lineRule="exact"/>
        <w:rPr>
          <w:rFonts w:hint="eastAsia" w:ascii="仿宋_GB2312" w:eastAsia="仿宋_GB2312"/>
          <w:sz w:val="32"/>
          <w:szCs w:val="32"/>
        </w:rPr>
      </w:pPr>
      <w:r>
        <w:rPr>
          <w:rFonts w:hint="eastAsia" w:ascii="仿宋_GB2312" w:eastAsia="仿宋_GB2312"/>
          <w:sz w:val="32"/>
          <w:szCs w:val="32"/>
        </w:rPr>
        <w:t>21、高职院校人才培养与巩固脱贫攻坚成果的对策研究</w:t>
      </w:r>
    </w:p>
    <w:p>
      <w:pPr>
        <w:spacing w:line="560" w:lineRule="exact"/>
        <w:rPr>
          <w:rFonts w:hint="eastAsia" w:ascii="仿宋_GB2312" w:eastAsia="仿宋_GB2312"/>
          <w:sz w:val="32"/>
          <w:szCs w:val="32"/>
        </w:rPr>
      </w:pPr>
      <w:r>
        <w:rPr>
          <w:rFonts w:hint="eastAsia" w:ascii="仿宋_GB2312" w:eastAsia="仿宋_GB2312"/>
          <w:sz w:val="32"/>
          <w:szCs w:val="32"/>
        </w:rPr>
        <w:t>22、解决湖南相对贫困问题的长效机制研究</w:t>
      </w:r>
    </w:p>
    <w:p>
      <w:pPr>
        <w:spacing w:line="560" w:lineRule="exact"/>
        <w:rPr>
          <w:rFonts w:hint="eastAsia" w:ascii="仿宋_GB2312" w:eastAsia="仿宋_GB2312"/>
          <w:sz w:val="32"/>
          <w:szCs w:val="32"/>
        </w:rPr>
      </w:pPr>
      <w:r>
        <w:rPr>
          <w:rFonts w:hint="eastAsia" w:ascii="仿宋_GB2312" w:eastAsia="仿宋_GB2312"/>
          <w:sz w:val="32"/>
          <w:szCs w:val="32"/>
        </w:rPr>
        <w:t>23、湖南省传统村落保护与乡村振兴研究</w:t>
      </w:r>
    </w:p>
    <w:p>
      <w:pPr>
        <w:spacing w:line="560" w:lineRule="exact"/>
        <w:rPr>
          <w:rFonts w:hint="eastAsia" w:ascii="仿宋_GB2312" w:eastAsia="仿宋_GB2312"/>
          <w:sz w:val="32"/>
          <w:szCs w:val="32"/>
        </w:rPr>
      </w:pPr>
      <w:r>
        <w:rPr>
          <w:rFonts w:hint="eastAsia" w:ascii="仿宋_GB2312" w:eastAsia="仿宋_GB2312"/>
          <w:sz w:val="32"/>
          <w:szCs w:val="32"/>
        </w:rPr>
        <w:t>24、湘赣边区乡村振兴示范区建设路径研究</w:t>
      </w:r>
    </w:p>
    <w:p>
      <w:pPr>
        <w:spacing w:line="560" w:lineRule="exact"/>
        <w:rPr>
          <w:rFonts w:hint="eastAsia" w:ascii="仿宋_GB2312" w:eastAsia="仿宋_GB2312"/>
          <w:sz w:val="32"/>
          <w:szCs w:val="32"/>
        </w:rPr>
      </w:pPr>
      <w:r>
        <w:rPr>
          <w:rFonts w:hint="eastAsia" w:ascii="仿宋_GB2312" w:eastAsia="仿宋_GB2312"/>
          <w:sz w:val="32"/>
          <w:szCs w:val="32"/>
        </w:rPr>
        <w:t>25、关于数据要素生产与使用中的伦理与法律问题研究</w:t>
      </w:r>
    </w:p>
    <w:p>
      <w:pPr>
        <w:spacing w:line="560" w:lineRule="exact"/>
        <w:rPr>
          <w:rFonts w:hint="eastAsia" w:ascii="仿宋_GB2312" w:eastAsia="仿宋_GB2312"/>
          <w:sz w:val="32"/>
          <w:szCs w:val="32"/>
        </w:rPr>
      </w:pPr>
      <w:r>
        <w:rPr>
          <w:rFonts w:hint="eastAsia" w:ascii="仿宋_GB2312" w:eastAsia="仿宋_GB2312"/>
          <w:sz w:val="32"/>
          <w:szCs w:val="32"/>
        </w:rPr>
        <w:t>26、大力推进以数据为特色的要素市场化配置改革研究</w:t>
      </w:r>
    </w:p>
    <w:p>
      <w:pPr>
        <w:tabs>
          <w:tab w:val="left" w:pos="640"/>
        </w:tabs>
        <w:spacing w:line="560" w:lineRule="exact"/>
        <w:ind w:left="627" w:hanging="627" w:hangingChars="196"/>
        <w:rPr>
          <w:rFonts w:hint="eastAsia" w:ascii="仿宋_GB2312" w:eastAsia="仿宋_GB2312"/>
          <w:sz w:val="32"/>
          <w:szCs w:val="32"/>
        </w:rPr>
      </w:pPr>
      <w:r>
        <w:rPr>
          <w:rFonts w:hint="eastAsia" w:ascii="仿宋_GB2312" w:eastAsia="仿宋_GB2312"/>
          <w:sz w:val="32"/>
          <w:szCs w:val="32"/>
        </w:rPr>
        <w:t>27、5G与区块链商用对湖南高科技企业创新的交互赋能机制与政策研究</w:t>
      </w:r>
    </w:p>
    <w:p>
      <w:pPr>
        <w:spacing w:line="560" w:lineRule="exact"/>
        <w:rPr>
          <w:rFonts w:hint="eastAsia" w:ascii="仿宋_GB2312" w:eastAsia="仿宋_GB2312"/>
          <w:sz w:val="32"/>
          <w:szCs w:val="32"/>
        </w:rPr>
      </w:pPr>
      <w:r>
        <w:rPr>
          <w:rFonts w:hint="eastAsia" w:ascii="仿宋_GB2312" w:eastAsia="仿宋_GB2312"/>
          <w:sz w:val="32"/>
          <w:szCs w:val="32"/>
        </w:rPr>
        <w:t>28、加快推进湖南新基建的思路与对策研究</w:t>
      </w:r>
    </w:p>
    <w:p>
      <w:pPr>
        <w:spacing w:line="560" w:lineRule="exact"/>
        <w:rPr>
          <w:rFonts w:hint="eastAsia" w:ascii="仿宋_GB2312" w:eastAsia="仿宋_GB2312"/>
          <w:sz w:val="32"/>
          <w:szCs w:val="32"/>
        </w:rPr>
      </w:pPr>
      <w:r>
        <w:rPr>
          <w:rFonts w:hint="eastAsia" w:ascii="仿宋_GB2312" w:eastAsia="仿宋_GB2312"/>
          <w:sz w:val="32"/>
          <w:szCs w:val="32"/>
        </w:rPr>
        <w:t>29、湖南具备强大增长潜力的产业研究</w:t>
      </w:r>
    </w:p>
    <w:p>
      <w:pPr>
        <w:spacing w:line="560" w:lineRule="exact"/>
        <w:rPr>
          <w:rFonts w:hint="eastAsia" w:ascii="仿宋_GB2312" w:eastAsia="仿宋_GB2312"/>
          <w:sz w:val="32"/>
          <w:szCs w:val="32"/>
        </w:rPr>
      </w:pPr>
      <w:r>
        <w:rPr>
          <w:rFonts w:hint="eastAsia" w:ascii="仿宋_GB2312" w:eastAsia="仿宋_GB2312"/>
          <w:sz w:val="32"/>
          <w:szCs w:val="32"/>
        </w:rPr>
        <w:t>30、产业链重构背景下湖南省产业布局优化研究</w:t>
      </w:r>
    </w:p>
    <w:p>
      <w:pPr>
        <w:spacing w:line="560" w:lineRule="exact"/>
        <w:rPr>
          <w:rFonts w:hint="eastAsia" w:ascii="仿宋_GB2312" w:eastAsia="仿宋_GB2312"/>
          <w:sz w:val="32"/>
          <w:szCs w:val="32"/>
        </w:rPr>
      </w:pPr>
      <w:r>
        <w:rPr>
          <w:rFonts w:hint="eastAsia" w:ascii="仿宋_GB2312" w:eastAsia="仿宋_GB2312"/>
          <w:sz w:val="32"/>
          <w:szCs w:val="32"/>
        </w:rPr>
        <w:t>31、湘南湘西承接产业转移的重点任务和支持政策研究</w:t>
      </w:r>
    </w:p>
    <w:p>
      <w:pPr>
        <w:spacing w:line="560" w:lineRule="exact"/>
        <w:rPr>
          <w:rFonts w:hint="eastAsia" w:ascii="仿宋_GB2312" w:eastAsia="仿宋_GB2312"/>
          <w:sz w:val="32"/>
          <w:szCs w:val="32"/>
        </w:rPr>
      </w:pPr>
      <w:r>
        <w:rPr>
          <w:rFonts w:hint="eastAsia" w:ascii="仿宋_GB2312" w:eastAsia="仿宋_GB2312"/>
          <w:sz w:val="32"/>
          <w:szCs w:val="32"/>
        </w:rPr>
        <w:t>32、湖南全面扩大省内消费市场战略研究</w:t>
      </w:r>
    </w:p>
    <w:p>
      <w:pPr>
        <w:spacing w:line="560" w:lineRule="exact"/>
        <w:rPr>
          <w:rFonts w:hint="eastAsia" w:ascii="仿宋_GB2312" w:eastAsia="仿宋_GB2312"/>
          <w:sz w:val="32"/>
          <w:szCs w:val="32"/>
        </w:rPr>
      </w:pPr>
      <w:r>
        <w:rPr>
          <w:rFonts w:hint="eastAsia" w:ascii="仿宋_GB2312" w:eastAsia="仿宋_GB2312"/>
          <w:sz w:val="32"/>
          <w:szCs w:val="32"/>
        </w:rPr>
        <w:t>33、我省扩大中等收入群体促进消费升级研究</w:t>
      </w:r>
    </w:p>
    <w:p>
      <w:pPr>
        <w:spacing w:line="560" w:lineRule="exact"/>
        <w:rPr>
          <w:rFonts w:hint="eastAsia" w:ascii="仿宋_GB2312" w:eastAsia="仿宋_GB2312"/>
          <w:sz w:val="32"/>
          <w:szCs w:val="32"/>
        </w:rPr>
      </w:pPr>
      <w:r>
        <w:rPr>
          <w:rFonts w:hint="eastAsia" w:ascii="仿宋_GB2312" w:eastAsia="仿宋_GB2312"/>
          <w:sz w:val="32"/>
          <w:szCs w:val="32"/>
        </w:rPr>
        <w:t>34、优化我省港口资源配置研究</w:t>
      </w:r>
    </w:p>
    <w:p>
      <w:pPr>
        <w:spacing w:line="560" w:lineRule="exact"/>
        <w:rPr>
          <w:rFonts w:hint="eastAsia" w:ascii="仿宋_GB2312" w:eastAsia="仿宋_GB2312"/>
          <w:sz w:val="32"/>
          <w:szCs w:val="32"/>
        </w:rPr>
      </w:pPr>
      <w:r>
        <w:rPr>
          <w:rFonts w:hint="eastAsia" w:ascii="仿宋_GB2312" w:eastAsia="仿宋_GB2312"/>
          <w:sz w:val="32"/>
          <w:szCs w:val="32"/>
        </w:rPr>
        <w:t>35、我省老旧小区改造重点问题研究及对策建议</w:t>
      </w:r>
    </w:p>
    <w:p>
      <w:pPr>
        <w:spacing w:line="560" w:lineRule="exact"/>
        <w:jc w:val="left"/>
        <w:rPr>
          <w:rFonts w:hint="eastAsia" w:ascii="仿宋_GB2312" w:eastAsia="仿宋_GB2312"/>
          <w:sz w:val="32"/>
          <w:szCs w:val="32"/>
        </w:rPr>
      </w:pPr>
      <w:r>
        <w:rPr>
          <w:rFonts w:hint="eastAsia" w:ascii="仿宋_GB2312" w:eastAsia="仿宋_GB2312"/>
          <w:sz w:val="32"/>
          <w:szCs w:val="32"/>
        </w:rPr>
        <w:t>36、宅基地“三权分置”改革落地与政策深化研究</w:t>
      </w:r>
    </w:p>
    <w:p>
      <w:pPr>
        <w:spacing w:line="560" w:lineRule="exact"/>
        <w:rPr>
          <w:rFonts w:hint="eastAsia" w:ascii="仿宋_GB2312" w:eastAsia="仿宋_GB2312"/>
          <w:sz w:val="32"/>
          <w:szCs w:val="32"/>
        </w:rPr>
      </w:pPr>
      <w:r>
        <w:rPr>
          <w:rFonts w:hint="eastAsia" w:ascii="仿宋_GB2312" w:eastAsia="仿宋_GB2312"/>
          <w:sz w:val="32"/>
          <w:szCs w:val="32"/>
        </w:rPr>
        <w:t>37、中国传统文化在高校大学生思想政治教育中的作用研究</w:t>
      </w:r>
    </w:p>
    <w:p>
      <w:pPr>
        <w:spacing w:line="560" w:lineRule="exact"/>
        <w:jc w:val="left"/>
        <w:rPr>
          <w:rFonts w:hint="eastAsia" w:ascii="仿宋_GB2312" w:eastAsia="仿宋_GB2312"/>
          <w:sz w:val="32"/>
          <w:szCs w:val="32"/>
        </w:rPr>
      </w:pPr>
      <w:r>
        <w:rPr>
          <w:rFonts w:hint="eastAsia" w:ascii="仿宋_GB2312" w:eastAsia="仿宋_GB2312"/>
          <w:sz w:val="32"/>
          <w:szCs w:val="32"/>
        </w:rPr>
        <w:t>38、湖南抗战文化史料收集与整理研究</w:t>
      </w:r>
    </w:p>
    <w:p>
      <w:pPr>
        <w:spacing w:line="560" w:lineRule="exact"/>
        <w:jc w:val="left"/>
        <w:rPr>
          <w:rFonts w:hint="eastAsia" w:ascii="仿宋_GB2312" w:eastAsia="仿宋_GB2312"/>
          <w:sz w:val="32"/>
          <w:szCs w:val="32"/>
        </w:rPr>
      </w:pPr>
      <w:r>
        <w:rPr>
          <w:rFonts w:hint="eastAsia" w:ascii="仿宋_GB2312" w:eastAsia="仿宋_GB2312"/>
          <w:sz w:val="32"/>
          <w:szCs w:val="32"/>
        </w:rPr>
        <w:t>39、打造“锦绣潇湘”文旅品牌高地实践路径研究</w:t>
      </w:r>
    </w:p>
    <w:p>
      <w:pPr>
        <w:spacing w:line="560" w:lineRule="exact"/>
        <w:rPr>
          <w:rFonts w:hint="eastAsia" w:ascii="仿宋_GB2312" w:eastAsia="仿宋_GB2312"/>
          <w:sz w:val="32"/>
          <w:szCs w:val="32"/>
        </w:rPr>
      </w:pPr>
      <w:r>
        <w:rPr>
          <w:rFonts w:hint="eastAsia" w:ascii="仿宋_GB2312" w:eastAsia="仿宋_GB2312"/>
          <w:sz w:val="32"/>
          <w:szCs w:val="32"/>
        </w:rPr>
        <w:t>40、湖南“新文创”产品开发与网络营销研究</w:t>
      </w:r>
    </w:p>
    <w:p>
      <w:pPr>
        <w:spacing w:line="560" w:lineRule="exact"/>
        <w:rPr>
          <w:rFonts w:hint="eastAsia" w:ascii="仿宋_GB2312" w:eastAsia="仿宋_GB2312"/>
          <w:sz w:val="32"/>
          <w:szCs w:val="32"/>
        </w:rPr>
      </w:pPr>
      <w:r>
        <w:rPr>
          <w:rFonts w:hint="eastAsia" w:ascii="仿宋_GB2312" w:eastAsia="仿宋_GB2312"/>
          <w:sz w:val="32"/>
          <w:szCs w:val="32"/>
        </w:rPr>
        <w:t>41、绿色发展战略下“湘竹”产业与品牌打造研究</w:t>
      </w:r>
    </w:p>
    <w:p>
      <w:pPr>
        <w:spacing w:line="560" w:lineRule="exact"/>
        <w:rPr>
          <w:rFonts w:hint="eastAsia" w:ascii="仿宋_GB2312" w:eastAsia="仿宋_GB2312"/>
          <w:sz w:val="32"/>
          <w:szCs w:val="32"/>
        </w:rPr>
      </w:pPr>
      <w:r>
        <w:rPr>
          <w:rFonts w:hint="eastAsia" w:ascii="仿宋_GB2312" w:eastAsia="仿宋_GB2312"/>
          <w:sz w:val="32"/>
          <w:szCs w:val="32"/>
        </w:rPr>
        <w:t>42、大湘西地区少数民族语言文化资源开发利用研究</w:t>
      </w:r>
    </w:p>
    <w:p>
      <w:pPr>
        <w:spacing w:line="560" w:lineRule="exact"/>
        <w:rPr>
          <w:rFonts w:hint="eastAsia" w:ascii="仿宋_GB2312" w:eastAsia="仿宋_GB2312"/>
          <w:sz w:val="32"/>
          <w:szCs w:val="32"/>
        </w:rPr>
      </w:pPr>
      <w:r>
        <w:rPr>
          <w:rFonts w:hint="eastAsia" w:ascii="仿宋_GB2312" w:eastAsia="仿宋_GB2312"/>
          <w:sz w:val="32"/>
          <w:szCs w:val="32"/>
        </w:rPr>
        <w:t>43、大湘西土司建筑装饰艺术保护与传承研究</w:t>
      </w:r>
    </w:p>
    <w:p>
      <w:pPr>
        <w:spacing w:line="560" w:lineRule="exact"/>
        <w:rPr>
          <w:rFonts w:hint="eastAsia" w:ascii="仿宋_GB2312" w:eastAsia="仿宋_GB2312"/>
          <w:sz w:val="32"/>
          <w:szCs w:val="32"/>
        </w:rPr>
      </w:pPr>
      <w:r>
        <w:rPr>
          <w:rFonts w:hint="eastAsia" w:ascii="仿宋_GB2312" w:eastAsia="仿宋_GB2312"/>
          <w:sz w:val="32"/>
          <w:szCs w:val="32"/>
        </w:rPr>
        <w:t>44、武陵山片区传统村落土地整治及其景观保护研究</w:t>
      </w:r>
    </w:p>
    <w:p>
      <w:pPr>
        <w:spacing w:line="560" w:lineRule="exact"/>
        <w:rPr>
          <w:rFonts w:hint="eastAsia" w:ascii="仿宋_GB2312" w:eastAsia="仿宋_GB2312"/>
          <w:sz w:val="32"/>
          <w:szCs w:val="32"/>
        </w:rPr>
      </w:pPr>
      <w:r>
        <w:rPr>
          <w:rFonts w:hint="eastAsia" w:ascii="仿宋_GB2312" w:eastAsia="仿宋_GB2312"/>
          <w:sz w:val="32"/>
          <w:szCs w:val="32"/>
        </w:rPr>
        <w:t>45、湖南省共建共治共享社会治理体系研究</w:t>
      </w:r>
    </w:p>
    <w:p>
      <w:pPr>
        <w:spacing w:line="560" w:lineRule="exact"/>
        <w:rPr>
          <w:rFonts w:hint="eastAsia" w:ascii="仿宋_GB2312" w:eastAsia="仿宋_GB2312"/>
          <w:sz w:val="32"/>
          <w:szCs w:val="32"/>
        </w:rPr>
      </w:pPr>
      <w:r>
        <w:rPr>
          <w:rFonts w:hint="eastAsia" w:ascii="仿宋_GB2312" w:eastAsia="仿宋_GB2312"/>
          <w:sz w:val="32"/>
          <w:szCs w:val="32"/>
        </w:rPr>
        <w:t>46、湖南省农村健康养老体系研究</w:t>
      </w:r>
    </w:p>
    <w:p>
      <w:pPr>
        <w:spacing w:line="560" w:lineRule="exact"/>
        <w:rPr>
          <w:rFonts w:hint="eastAsia" w:ascii="仿宋_GB2312" w:eastAsia="仿宋_GB2312"/>
          <w:sz w:val="32"/>
          <w:szCs w:val="32"/>
        </w:rPr>
      </w:pPr>
      <w:r>
        <w:rPr>
          <w:rFonts w:hint="eastAsia" w:ascii="仿宋_GB2312" w:eastAsia="仿宋_GB2312"/>
          <w:sz w:val="32"/>
          <w:szCs w:val="32"/>
        </w:rPr>
        <w:t>47、中国共产党初创时期湘籍革命家的作用与贡献研究</w:t>
      </w:r>
    </w:p>
    <w:p>
      <w:pPr>
        <w:spacing w:line="560" w:lineRule="exact"/>
        <w:rPr>
          <w:rFonts w:hint="eastAsia" w:ascii="仿宋_GB2312" w:eastAsia="仿宋_GB2312"/>
          <w:sz w:val="32"/>
          <w:szCs w:val="32"/>
        </w:rPr>
      </w:pPr>
      <w:r>
        <w:rPr>
          <w:rFonts w:hint="eastAsia" w:ascii="仿宋_GB2312" w:eastAsia="仿宋_GB2312"/>
          <w:sz w:val="32"/>
          <w:szCs w:val="32"/>
        </w:rPr>
        <w:t>48、中国共产党精神谱系在湖南的发扬光大与形象标识研究</w:t>
      </w:r>
    </w:p>
    <w:p>
      <w:pPr>
        <w:spacing w:line="560" w:lineRule="exact"/>
        <w:ind w:left="419" w:hanging="419" w:hangingChars="131"/>
        <w:rPr>
          <w:rFonts w:ascii="仿宋_GB2312" w:eastAsia="仿宋_GB2312"/>
          <w:sz w:val="32"/>
          <w:szCs w:val="32"/>
        </w:rPr>
      </w:pPr>
      <w:r>
        <w:rPr>
          <w:rFonts w:hint="eastAsia" w:ascii="仿宋_GB2312" w:eastAsia="仿宋_GB2312"/>
          <w:sz w:val="32"/>
          <w:szCs w:val="32"/>
        </w:rPr>
        <w:t xml:space="preserve">49、按照“三表率一模范”要求全面提高机关党的建设质量  </w:t>
      </w:r>
    </w:p>
    <w:p>
      <w:pPr>
        <w:spacing w:line="560" w:lineRule="exact"/>
        <w:ind w:left="419" w:hanging="419" w:hangingChars="131"/>
        <w:rPr>
          <w:rFonts w:hint="eastAsia" w:ascii="仿宋_GB2312" w:hAnsi="仿宋" w:eastAsia="仿宋_GB2312"/>
          <w:sz w:val="32"/>
          <w:szCs w:val="32"/>
        </w:rPr>
      </w:pPr>
      <w:r>
        <w:rPr>
          <w:rFonts w:ascii="仿宋_GB2312" w:eastAsia="仿宋_GB2312"/>
          <w:sz w:val="32"/>
          <w:szCs w:val="32"/>
        </w:rPr>
        <w:t xml:space="preserve">    </w:t>
      </w:r>
      <w:r>
        <w:rPr>
          <w:rFonts w:hint="eastAsia" w:ascii="仿宋_GB2312" w:eastAsia="仿宋_GB2312"/>
          <w:sz w:val="32"/>
          <w:szCs w:val="32"/>
        </w:rPr>
        <w:t>的路径与措施研究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A2FDB"/>
    <w:rsid w:val="525A2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2020-07-18T07:37:00Z</dcterms:created>
  <dc:creator>highflyme</dc:creator>
  <cp:lastModifiedBy>highflyme</cp:lastModifiedBy>
  <dcterms:modified xsi:type="dcterms:W3CDTF">2020-07-18T07:38:02Z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