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Theme="minorEastAsia"/>
          <w:b w:val="0"/>
          <w:bCs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附件二</w:t>
      </w:r>
    </w:p>
    <w:bookmarkEnd w:id="0"/>
    <w:p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书 面 文 档 作 品 规 范</w:t>
      </w:r>
    </w:p>
    <w:p>
      <w:pPr>
        <w:spacing w:line="360" w:lineRule="auto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 xml:space="preserve"> 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一、书面文档分为《个人职业生涯规划书》word文档与ppt两个部分。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二、《个人职业生涯规划书》。参赛作品以参赛选手本人的职业规划为主题，以近期职业生涯目标规划为重点，对自我和外部环境进行全面分析，提出自己的职业目标、发展路径和行动计划。职业规划目标为创业的选手仍然可以参赛，按选手学历层次归组，同样考察规划思路与实践体验，而非以创业计划书为评比标准。参赛作品应涵盖自我认知、职业认知、职业目标与路径设计、规划与实施计划、评估与备选方案等内容，适当运用人才测评等分析、决策工具及丰富的事实论据，对职业规划过程进行详尽阐述。    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三、书面作品规格要求。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1、书面文档使用A4纸黑白打印装订，彩色拒收。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2、书面文档必须</w:t>
      </w:r>
      <w:r>
        <w:rPr>
          <w:rFonts w:hint="eastAsia" w:ascii="宋体" w:hAnsi="宋体"/>
          <w:sz w:val="24"/>
          <w:szCs w:val="24"/>
          <w:lang w:val="en-US" w:eastAsia="zh-CN"/>
        </w:rPr>
        <w:t>填写大赛选手报名表，且</w:t>
      </w:r>
      <w:r>
        <w:rPr>
          <w:rFonts w:hint="eastAsia" w:ascii="宋体" w:hAnsi="宋体"/>
          <w:sz w:val="24"/>
          <w:szCs w:val="24"/>
        </w:rPr>
        <w:t>规划书内不得出现涉及选手身份信息的内容，如必须出现时请以“*”代替。</w:t>
      </w:r>
    </w:p>
    <w:p>
      <w:pPr>
        <w:autoSpaceDE w:val="0"/>
        <w:spacing w:line="48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三、电子版作品规格。</w:t>
      </w:r>
    </w:p>
    <w:p>
      <w:pPr>
        <w:autoSpaceDE w:val="0"/>
        <w:spacing w:line="48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电子版作品为Microsoft Word格式（*.doc文件），ppt为Microsoft PowerPoint格式（*.ppt文件）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2021-04-23T07:53:31Z</dcterms:created>
  <dc:creator>Administrator</dc:creator>
  <cp:lastModifiedBy>Administrator</cp:lastModifiedBy>
  <dcterms:modified xsi:type="dcterms:W3CDTF">2021-04-23T07:53:51Z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